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Доклад </w:t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 состоянии и развитии конкурентной среды на рынках товаров, работ</w:t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и услуг Анжеро-Судженского городского округа </w:t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за 2024 год</w:t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01 августа 2019 года между Правительством Кузбасса и администрацией Анжеро-Судженского городского округа заключено Соглашение о внедрении стандарта развития конкуренции в субъектах Российской Федерации в Кемеровской области - Кузбассе.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 основным задачам по развитию конкуренции в Анжеро-Судженском городском округе относятся: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создание благоприятных организационно-правовых и экономических условий для устойчивого развития конкуренции;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содействие развитию конкуренции в рамках внедрения стандарта развития конкуренции в субъектах Российской Федерации в Кемеровской области – Кузбассе;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снижение или устранение правовых, административных, финансовых барьеров для хозяйствующих субъектов;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повышение уровня информационной открытости деятельности администрации Анжеро-Судженского городского округа.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Важным критерием развития конкуренции </w:t>
      </w:r>
      <w:r>
        <w:rPr>
          <w:rFonts w:ascii="Times New Roman" w:hAnsi="Times New Roman" w:cs="Times New Roman"/>
          <w:color w:val="000000"/>
          <w:sz w:val="28"/>
          <w:szCs w:val="28"/>
        </w:rPr>
        <w:t>Анжеро-Судженского</w:t>
      </w:r>
      <w:r>
        <w:rPr>
          <w:rFonts w:ascii="Times New Roman" w:hAnsi="Times New Roman"/>
          <w:color w:val="000000"/>
          <w:sz w:val="28"/>
          <w:szCs w:val="28"/>
        </w:rPr>
        <w:t xml:space="preserve"> городского округа является наличие достаточного количества хозяйствующих субъектов, в том числе субъектов малого бизнеса. 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 этом развитие малого и среднего предпринимательства является одним из определяющих факторов обеспечения эффективного и устойчивого развития экономики. Число субъектов малого и среднего предпринимательства по состоянию на </w:t>
      </w:r>
      <w:r>
        <w:rPr>
          <w:rFonts w:ascii="Times New Roman" w:hAnsi="Times New Roman"/>
          <w:b/>
          <w:color w:val="000000"/>
          <w:sz w:val="28"/>
          <w:szCs w:val="28"/>
        </w:rPr>
        <w:t>01.01.2025 г</w:t>
      </w:r>
      <w:r>
        <w:rPr>
          <w:rFonts w:ascii="Times New Roman" w:hAnsi="Times New Roman"/>
          <w:color w:val="000000"/>
          <w:sz w:val="28"/>
          <w:szCs w:val="28"/>
        </w:rPr>
        <w:t>. составляе</w:t>
      </w:r>
      <w:r>
        <w:rPr>
          <w:rFonts w:ascii="Times New Roman" w:hAnsi="Times New Roman"/>
          <w:sz w:val="28"/>
          <w:szCs w:val="28"/>
        </w:rPr>
        <w:t xml:space="preserve">т 1170 </w:t>
      </w:r>
      <w:r>
        <w:rPr>
          <w:rFonts w:ascii="Times New Roman" w:hAnsi="Times New Roman"/>
          <w:color w:val="000000"/>
          <w:sz w:val="28"/>
          <w:szCs w:val="28"/>
        </w:rPr>
        <w:t>единиц.</w:t>
      </w:r>
      <w:r>
        <w:rPr>
          <w:rFonts w:ascii="Times New Roman" w:hAnsi="Times New Roman"/>
          <w:color w:val="ff0000"/>
          <w:sz w:val="28"/>
          <w:szCs w:val="28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 отчетный период осуществлен мониторинг состояния и развития конкурентной среды на товарных рынках Анжеро-Судженского городского округа.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para12"/>
        <w:numPr>
          <w:ilvl w:val="0"/>
          <w:numId w:val="2"/>
        </w:numPr>
        <w:ind w:left="720" w:hanging="360"/>
        <w:spacing w:before="0" w:after="0"/>
      </w:pPr>
      <w:r>
        <w:t xml:space="preserve">Результаты мониторинга состояния и развития конкурентной среды на товарных рынках Анжеро-Судженского городского округа. </w:t>
      </w:r>
    </w:p>
    <w:p>
      <w:pPr>
        <w:pStyle w:val="para12"/>
        <w:spacing w:before="0" w:after="0"/>
      </w:pPr>
      <w:r>
        <w:t>1.1 Рынок услуг дошкольного образования</w:t>
      </w:r>
    </w:p>
    <w:p>
      <w:pPr>
        <w:pStyle w:val="para4"/>
        <w:ind w:firstLine="709"/>
        <w:spacing w:before="0" w:after="0" w:beforeAutospacing="0" w:afterAutospacing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para4"/>
        <w:ind w:firstLine="709"/>
        <w:spacing w:before="0" w:after="0" w:beforeAutospacing="0" w:afterAutospacing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Конкурентная среда рынка услуг дошкольного образования характеризуется значительным доминированием муниципальных образовательных учреждений.</w:t>
      </w:r>
      <w:r>
        <w:rPr>
          <w:rFonts w:eastAsia="Calibri"/>
          <w:sz w:val="28"/>
          <w:szCs w:val="28"/>
        </w:rPr>
      </w:r>
    </w:p>
    <w:p>
      <w:pPr>
        <w:pStyle w:val="para4"/>
        <w:ind w:firstLine="709"/>
        <w:spacing w:before="0" w:after="0"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31.12.2024 года в Анжеро-Судженском городском округе функционировало</w:t>
      </w:r>
      <w:r>
        <w:rPr>
          <w:color w:val="000000"/>
          <w:sz w:val="28"/>
          <w:szCs w:val="28"/>
        </w:rPr>
        <w:t xml:space="preserve"> 28 м</w:t>
      </w:r>
      <w:r>
        <w:rPr>
          <w:sz w:val="28"/>
          <w:szCs w:val="28"/>
        </w:rPr>
        <w:t>униципальных дошкольных образовательных организации и группа для детей дошкольного возраста в МКОУ «Школа-интернат № 18». По состоянию на 31.12.2024 года численность воспитанников составляет 2467 человек, в том числе в возрасте 1 - 6 лет 2421 воспитанников.</w:t>
      </w:r>
      <w:r>
        <w:rPr>
          <w:sz w:val="28"/>
          <w:szCs w:val="28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проблемы: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after="0" w:line="240" w:lineRule="auto"/>
        <w:jc w:val="both"/>
        <w:tabs defTabSz="708">
          <w:tab w:val="left" w:pos="1392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низкая рентабельность частных образовательных организаций при высоком уровне первоначальных вложений в развитие бизнеса;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сложности, связанные с подбором помещений (арендой или выкупом), а также с соблюдением нормативных требований к этим помещениям;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низкий уровень доходов населения, как следствие, недостаточная востребованность данного рода учреждений.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12"/>
        <w:spacing w:before="0" w:after="0"/>
        <w:rPr>
          <w:color w:val="ff0000"/>
        </w:rPr>
      </w:pPr>
      <w:r>
        <w:rPr>
          <w:color w:val="ff0000"/>
        </w:rPr>
      </w:r>
    </w:p>
    <w:p>
      <w:pPr>
        <w:pStyle w:val="para12"/>
        <w:spacing w:before="0" w:after="0"/>
        <w:rPr>
          <w:rFonts w:cs="Times New Roman"/>
          <w:color w:val="000000"/>
        </w:rPr>
      </w:pPr>
      <w:r>
        <w:rPr>
          <w:color w:val="000000"/>
        </w:rPr>
        <w:t>1.2 Рынок услуг дополнительного образования детей</w:t>
      </w:r>
      <w:r>
        <w:rPr>
          <w:rFonts w:cs="Times New Roman"/>
          <w:color w:val="000000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eastAsia="SimSun" w:cs="Times New Roman"/>
          <w:color w:val="000000"/>
          <w:sz w:val="28"/>
          <w:szCs w:val="28"/>
        </w:rPr>
      </w:pPr>
      <w:r>
        <w:rPr>
          <w:rFonts w:ascii="Times New Roman" w:hAnsi="Times New Roman" w:eastAsia="SimSun" w:cs="Times New Roman"/>
          <w:color w:val="000000"/>
          <w:sz w:val="28"/>
          <w:szCs w:val="28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eastAsia="SimSun" w:cs="Times New Roman"/>
          <w:color w:val="000000"/>
          <w:sz w:val="28"/>
          <w:szCs w:val="28"/>
        </w:rPr>
      </w:pPr>
      <w:r>
        <w:rPr>
          <w:rFonts w:ascii="Times New Roman" w:hAnsi="Times New Roman" w:eastAsia="SimSun" w:cs="Times New Roman"/>
          <w:color w:val="000000"/>
          <w:sz w:val="28"/>
          <w:szCs w:val="28"/>
        </w:rPr>
        <w:t>В 2024 году на территории Анжеро-Судженского городского округа функционировало 8 учреждений дополнительного образования, подведомственных управлению образования и управлению культуры, по следующим направлениям: естественно - научное, социально-педагогическое, техническое, художественное, туристко-краеведческое, физкультурно-спортивное.</w:t>
      </w:r>
      <w:r>
        <w:rPr>
          <w:rFonts w:ascii="Times New Roman" w:hAnsi="Times New Roman" w:eastAsia="SimSun" w:cs="Times New Roman"/>
          <w:color w:val="000000"/>
          <w:sz w:val="28"/>
          <w:szCs w:val="28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eastAsia="SimSun" w:cs="Times New Roman"/>
          <w:color w:val="000000"/>
          <w:sz w:val="28"/>
          <w:szCs w:val="28"/>
        </w:rPr>
      </w:pPr>
      <w:r>
        <w:rPr>
          <w:rFonts w:ascii="Times New Roman" w:hAnsi="Times New Roman" w:eastAsia="SimSun" w:cs="Times New Roman"/>
          <w:color w:val="000000"/>
          <w:sz w:val="28"/>
          <w:szCs w:val="28"/>
        </w:rPr>
        <w:t>В целях создания условий для развития конкуренции на рынке услуг дополнительного образования в 2024 г. проведена следующая работа:</w:t>
      </w:r>
      <w:r>
        <w:rPr>
          <w:rFonts w:ascii="Times New Roman" w:hAnsi="Times New Roman" w:eastAsia="SimSun" w:cs="Times New Roman"/>
          <w:color w:val="000000"/>
          <w:sz w:val="28"/>
          <w:szCs w:val="28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eastAsia="SimSun" w:cs="Times New Roman"/>
          <w:color w:val="000000"/>
          <w:sz w:val="28"/>
          <w:szCs w:val="28"/>
        </w:rPr>
      </w:pPr>
      <w:r>
        <w:rPr>
          <w:rFonts w:ascii="Times New Roman" w:hAnsi="Times New Roman" w:eastAsia="SimSun" w:cs="Times New Roman"/>
          <w:color w:val="000000"/>
          <w:sz w:val="28"/>
          <w:szCs w:val="28"/>
        </w:rPr>
        <w:t>1) Создано 240 дополнительных учебных мест:</w:t>
      </w:r>
      <w:r>
        <w:rPr>
          <w:rFonts w:ascii="Times New Roman" w:hAnsi="Times New Roman" w:eastAsia="SimSun" w:cs="Times New Roman"/>
          <w:color w:val="000000"/>
          <w:sz w:val="28"/>
          <w:szCs w:val="28"/>
        </w:rPr>
      </w:r>
    </w:p>
    <w:p>
      <w:pPr>
        <w:ind w:firstLine="708"/>
        <w:spacing w:after="0" w:line="240" w:lineRule="auto"/>
        <w:jc w:val="both"/>
        <w:rPr>
          <w:rFonts w:ascii="Times New Roman" w:hAnsi="Times New Roman" w:eastAsia="SimSun" w:cs="Times New Roman"/>
          <w:color w:val="000000"/>
          <w:sz w:val="28"/>
          <w:szCs w:val="28"/>
        </w:rPr>
      </w:pPr>
      <w:r>
        <w:rPr>
          <w:rFonts w:ascii="Times New Roman" w:hAnsi="Times New Roman" w:eastAsia="SimSun" w:cs="Times New Roman"/>
          <w:color w:val="000000"/>
          <w:sz w:val="28"/>
          <w:szCs w:val="28"/>
        </w:rPr>
        <w:t xml:space="preserve">-120 новых мест по художественной направленности («Школьный театр») в МАОУ «СОШ №1», МБОУ «СОШ №3 с УИОП им. Г. Панфилова» </w:t>
      </w:r>
      <w:r>
        <w:rPr>
          <w:rFonts w:ascii="Times New Roman" w:hAnsi="Times New Roman" w:eastAsia="SimSun" w:cs="Times New Roman"/>
          <w:color w:val="000000"/>
          <w:sz w:val="28"/>
          <w:szCs w:val="28"/>
        </w:rPr>
      </w:r>
    </w:p>
    <w:p>
      <w:pPr>
        <w:ind w:firstLine="708"/>
        <w:spacing w:after="0" w:line="240" w:lineRule="auto"/>
        <w:jc w:val="both"/>
        <w:rPr>
          <w:rFonts w:ascii="Times New Roman" w:hAnsi="Times New Roman" w:eastAsia="SimSun" w:cs="Times New Roman"/>
          <w:color w:val="000000"/>
          <w:sz w:val="28"/>
          <w:szCs w:val="28"/>
        </w:rPr>
      </w:pPr>
      <w:r>
        <w:rPr>
          <w:rFonts w:ascii="Times New Roman" w:hAnsi="Times New Roman" w:eastAsia="SimSun" w:cs="Times New Roman"/>
          <w:color w:val="000000"/>
          <w:sz w:val="28"/>
          <w:szCs w:val="28"/>
        </w:rPr>
        <w:t xml:space="preserve">-120 новых мест по социально-гуманитарной направленности («Школьный медиацентр») в МБОУ «ООШ №8», МБУ ДО «ООЦ «Олимп». </w:t>
      </w:r>
      <w:r>
        <w:rPr>
          <w:rFonts w:ascii="Times New Roman" w:hAnsi="Times New Roman" w:eastAsia="SimSun" w:cs="Times New Roman"/>
          <w:color w:val="000000"/>
          <w:sz w:val="28"/>
          <w:szCs w:val="28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eastAsia="SimSun" w:cs="Times New Roman"/>
          <w:color w:val="000000"/>
          <w:sz w:val="28"/>
          <w:szCs w:val="28"/>
        </w:rPr>
      </w:pPr>
      <w:r>
        <w:rPr>
          <w:rFonts w:ascii="Times New Roman" w:hAnsi="Times New Roman" w:eastAsia="SimSun" w:cs="Times New Roman"/>
          <w:color w:val="000000"/>
          <w:sz w:val="28"/>
          <w:szCs w:val="28"/>
        </w:rPr>
        <w:t>2) в информационном разделе на сайтах МАДОУ «ДС №10» и управления образования размещена актуальная нормативно-правовая информация по дополнительным общеобразовательным программам. На сегодняшний день в навигатор программ дополнительного образования входят платных программ - 51, сертифицированных программ – 71, бюджетных программ - 260;</w:t>
      </w:r>
      <w:r>
        <w:rPr>
          <w:rFonts w:ascii="Times New Roman" w:hAnsi="Times New Roman" w:eastAsia="SimSun" w:cs="Times New Roman"/>
          <w:color w:val="000000"/>
          <w:sz w:val="28"/>
          <w:szCs w:val="28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eastAsia="SimSun" w:cs="Times New Roman"/>
          <w:color w:val="000000"/>
          <w:sz w:val="28"/>
          <w:szCs w:val="28"/>
        </w:rPr>
      </w:pPr>
      <w:r>
        <w:rPr>
          <w:rFonts w:ascii="Times New Roman" w:hAnsi="Times New Roman" w:eastAsia="SimSun" w:cs="Times New Roman"/>
          <w:color w:val="000000"/>
          <w:sz w:val="28"/>
          <w:szCs w:val="28"/>
        </w:rPr>
        <w:t>3) проведены консультации по разработке дополнительных общеобразовательных программ и их сертификации.</w:t>
      </w:r>
      <w:r>
        <w:rPr>
          <w:rFonts w:ascii="Times New Roman" w:hAnsi="Times New Roman" w:eastAsia="SimSun" w:cs="Times New Roman"/>
          <w:color w:val="000000"/>
          <w:sz w:val="28"/>
          <w:szCs w:val="28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eastAsia="SimSun" w:cs="Times New Roman"/>
          <w:color w:val="000000"/>
          <w:sz w:val="28"/>
          <w:szCs w:val="28"/>
        </w:rPr>
      </w:pPr>
      <w:r>
        <w:rPr>
          <w:rFonts w:ascii="Times New Roman" w:hAnsi="Times New Roman" w:eastAsia="SimSun" w:cs="Times New Roman"/>
          <w:color w:val="000000"/>
          <w:sz w:val="28"/>
          <w:szCs w:val="28"/>
        </w:rPr>
        <w:t>По состоянию на 31.12.2024 года в Анжеро-Судженске осуществляет деятельность одна организация ИП Кудин Ю. С. (Центр развития «Дети+») лицензия получена на осуществление образовательной деятельности по дополнительным общеобразовательным программам №0004481 от 07.11.2019г.</w:t>
      </w:r>
      <w:r>
        <w:rPr>
          <w:rFonts w:ascii="Times New Roman" w:hAnsi="Times New Roman" w:eastAsia="SimSun" w:cs="Times New Roman"/>
          <w:color w:val="000000"/>
          <w:sz w:val="28"/>
          <w:szCs w:val="28"/>
        </w:rPr>
      </w:r>
    </w:p>
    <w:p>
      <w:pPr>
        <w:pStyle w:val="para4"/>
        <w:ind w:firstLine="709"/>
        <w:spacing w:before="0" w:after="0" w:beforeAutospacing="0" w:afterAutospacing="0"/>
        <w:jc w:val="both"/>
        <w:rPr>
          <w:rFonts w:eastAsia="SimSun"/>
          <w:color w:val="000000"/>
          <w:sz w:val="28"/>
          <w:szCs w:val="28"/>
          <w:lang w:eastAsia="en-us"/>
        </w:rPr>
      </w:pPr>
      <w:r>
        <w:rPr>
          <w:rFonts w:eastAsia="SimSun"/>
          <w:color w:val="000000"/>
          <w:sz w:val="28"/>
          <w:szCs w:val="28"/>
          <w:lang w:eastAsia="en-us"/>
        </w:rPr>
        <w:t>Основными задачами учреждения являются:</w:t>
      </w:r>
      <w:r>
        <w:rPr>
          <w:rFonts w:eastAsia="SimSun"/>
          <w:color w:val="000000"/>
          <w:sz w:val="28"/>
          <w:szCs w:val="28"/>
          <w:lang w:eastAsia="en-us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охрана жизни и укрепление здоровья детей;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обеспечение интеллектуального, личностного и физического развития ребенка;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осуществление необходимой коррекции отклонений в развитии ребенка;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приобщение детей к общечеловеческим ценностям;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взаимодействие с семьей для обеспечения полноценного развития ребенка.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para2"/>
        <w:ind w:left="0" w:firstLine="709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Обоснование проблемы: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para2"/>
        <w:ind w:left="0" w:firstLine="709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высокие требования к условиям реализации программ (СанПиН, помещения, кадры); 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para2"/>
        <w:ind w:left="0" w:firstLine="709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высокая стоимость аренды помещений.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para12"/>
        <w:spacing w:before="0" w:after="0"/>
        <w:rPr>
          <w:color w:val="000000"/>
        </w:rPr>
      </w:pPr>
      <w:r>
        <w:rPr>
          <w:color w:val="000000"/>
        </w:rPr>
      </w:r>
    </w:p>
    <w:p>
      <w:pPr>
        <w:pStyle w:val="para12"/>
        <w:spacing w:before="0" w:after="0"/>
      </w:pPr>
      <w:r>
        <w:t>1.3 Рынок услуг детского отдыха и оздоровления</w:t>
      </w:r>
    </w:p>
    <w:p>
      <w:pPr>
        <w:pStyle w:val="para4"/>
        <w:ind w:firstLine="709"/>
        <w:spacing w:before="0" w:after="0" w:beforeAutospacing="0" w:afterAutospacing="0"/>
        <w:jc w:val="both"/>
        <w:rPr>
          <w:rFonts w:eastAsia="SimSun"/>
          <w:sz w:val="28"/>
          <w:szCs w:val="28"/>
          <w:lang w:eastAsia="en-us"/>
        </w:rPr>
      </w:pPr>
      <w:r>
        <w:rPr>
          <w:rFonts w:eastAsia="SimSun"/>
          <w:sz w:val="28"/>
          <w:szCs w:val="28"/>
          <w:lang w:eastAsia="en-us"/>
        </w:rPr>
      </w:r>
    </w:p>
    <w:p>
      <w:pPr>
        <w:pStyle w:val="para4"/>
        <w:ind w:firstLine="709"/>
        <w:spacing w:before="0" w:after="0" w:beforeAutospacing="0" w:afterAutospacing="0"/>
        <w:jc w:val="both"/>
        <w:rPr>
          <w:rFonts w:eastAsia="SimSun"/>
          <w:sz w:val="28"/>
          <w:szCs w:val="28"/>
          <w:lang w:eastAsia="en-us"/>
        </w:rPr>
      </w:pPr>
      <w:r>
        <w:rPr>
          <w:rFonts w:eastAsia="SimSun"/>
          <w:sz w:val="28"/>
          <w:szCs w:val="28"/>
          <w:lang w:eastAsia="en-us"/>
        </w:rPr>
        <w:t>В ходе проведения детской летней оздоровительной кампании в 2024 году на территории Анжеро-Судженского городского округа функционировало 36 организаций отдыха детей и их оздоровление: 4 загородных лагеря («Белая роща», «Огонек», Санаторий «Анжерский», ИП Шинкарев С.А. лагерь №1); 18 лагерей с дневным пребыванием детей; 9 лагерей труда и отдыха для подростков; 5 лагеря палаточного типа.</w:t>
      </w:r>
      <w:r>
        <w:rPr>
          <w:rFonts w:eastAsia="SimSun"/>
          <w:sz w:val="28"/>
          <w:szCs w:val="28"/>
          <w:lang w:eastAsia="en-us"/>
        </w:rPr>
      </w:r>
    </w:p>
    <w:p>
      <w:pPr>
        <w:ind w:firstLine="709"/>
        <w:spacing w:after="0" w:line="240" w:lineRule="auto"/>
        <w:jc w:val="both"/>
        <w:tabs defTabSz="708">
          <w:tab w:val="left" w:pos="1392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проблемы: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after="0" w:line="240" w:lineRule="auto"/>
        <w:jc w:val="both"/>
        <w:tabs defTabSz="708">
          <w:tab w:val="left" w:pos="1392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высокие требования стандартов качества предоставляемой услуги, соответствие современным санитарно-эпидемиологическим требованиям и нормам пожарной и антитеррористической безопасности;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after="0" w:line="240" w:lineRule="auto"/>
        <w:jc w:val="both"/>
        <w:tabs defTabSz="708">
          <w:tab w:val="left" w:pos="1392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частные организации, обеспечивающие отдых и оздоровление детей, подвержены регулярным проверкам со стороны надзорных органов, что делает непривлекательным данный рынок услуг;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after="0" w:line="240" w:lineRule="auto"/>
        <w:jc w:val="both"/>
        <w:tabs defTabSz="708">
          <w:tab w:val="left" w:pos="1392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недостаточный уровень квалификации психолого - педагогических, физкультурно-спортивных, медицинских и других специалистов, владеющих технологиями оздоровления и психолого - педагогической поддержки детей во время пребывания на отдыхе, в связи с отсутствием профессиональных стандартов специалистов в сфере отдыха и оздоровления;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after="0" w:line="240" w:lineRule="auto"/>
        <w:jc w:val="both"/>
        <w:tabs defTabSz="708">
          <w:tab w:val="left" w:pos="1392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высокая себестоимость услуг в условиях снижения платежеспособности населения приводит к вынужденному снижению стоимости услуг, что делает рынок услуг детского отдыха и оздоровления менее рентабельным.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12"/>
        <w:spacing w:before="0" w:after="0"/>
      </w:pPr>
      <w:r/>
    </w:p>
    <w:p>
      <w:pPr>
        <w:pStyle w:val="para12"/>
        <w:spacing w:before="0" w:after="0"/>
      </w:pPr>
      <w:r>
        <w:t>1.4 Рынок медицинских услуг</w:t>
      </w:r>
    </w:p>
    <w:p>
      <w:pPr>
        <w:ind w:firstLine="709"/>
        <w:spacing w:after="0" w:line="240" w:lineRule="auto"/>
        <w:jc w:val="both"/>
        <w:tabs defTabSz="708">
          <w:tab w:val="left" w:pos="13925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ind w:firstLine="709"/>
        <w:spacing w:after="0" w:line="240" w:lineRule="auto"/>
        <w:jc w:val="both"/>
        <w:tabs defTabSz="708">
          <w:tab w:val="left" w:pos="13925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Анжеро-Судженском городском округе наблюдается увеличение числа негосударственных (немуниципальных) медицинских организаций. На территории городского округа осуществляют деятельность 9 стоматологических кабинетов, 4 частных медицинских клиники. Работает консультативный кабинет «Ваш доктор», «Инвитро» (прием анализов), «Импульс» (диагностика), ООО «Сибирское здоровье» (диагностика), Медицинский центр «</w:t>
      </w:r>
      <w:r>
        <w:rPr>
          <w:rFonts w:ascii="Times New Roman" w:hAnsi="Times New Roman"/>
          <w:sz w:val="28"/>
          <w:szCs w:val="28"/>
          <w:lang w:val="en-us"/>
        </w:rPr>
        <w:t>VITA</w:t>
      </w:r>
      <w:r>
        <w:rPr>
          <w:rFonts w:ascii="Times New Roman" w:hAnsi="Times New Roman"/>
          <w:sz w:val="28"/>
          <w:szCs w:val="28"/>
        </w:rPr>
        <w:t>» (анализы, диагностика), МРТ Альянс Анжеро-Судженск (диагностика)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Обоснование проблемы: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высокая стоимость современного лечебного, диагностического, стерилизационного оборудования;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отсутствие свободных помещений (высокая арендная плата);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отсутствие квалифицированных кадров.</w:t>
      </w:r>
      <w:r>
        <w:rPr>
          <w:rFonts w:ascii="Times New Roman" w:hAnsi="Times New Roman"/>
          <w:sz w:val="28"/>
          <w:szCs w:val="28"/>
        </w:rPr>
      </w:r>
    </w:p>
    <w:p>
      <w:pPr>
        <w:pStyle w:val="para12"/>
        <w:spacing w:before="0" w:after="0"/>
      </w:pPr>
      <w:r/>
    </w:p>
    <w:p>
      <w:pPr>
        <w:pStyle w:val="para12"/>
        <w:spacing w:before="0" w:after="0"/>
      </w:pPr>
      <w:r>
        <w:t>1.5. Рынок услуг розничной торговли лекарственными препаратами, медицинскими изделиями и сопутствующими товарами</w:t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01 января 2025 г. в Анжеро-Судженском городском округе действуют 16 аптечных сетей (51 объектов), осуществляющих розничную торговлю лекарственными препаратами, медицинскими изделиями и сопутствующими товарами, в том числе ГАУЗ КО АСГБ-8 объектов.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Рынок характеризуется высоким уровнем развития конкуренции.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негосударственных аптечных организаций, осуществляющих розничную торговлю фармацевтической продукцией, в общем количестве аптечных организаций, осуществляющих розничную торговлю фармацевтической продукцией, составляет -85%.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оценке представителей бизнес-сообщества уровень конкуренции на данном рынке является высоким: 71% респондентов отметили высокий уровень. При этом 63% потребителей товаров, работ и услуг отмечают удовлетворенность возможностью выбора организаций на рынке.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осуществления деятельности на рынке услуг розничной торговли лекарственными препаратами, медицинскими изделиями и сопутствующими товарами административные барьеры отсутствуют. Руководителям аптечных сетей направляется информация об обращениях граждан в открытии аптеки (в отдаленных районах города) и оказании помощи в поиске помещения.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Обоснование проблемы: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наличие специфических требований к помещениям для размещения аптечных пунктов.</w:t>
      </w:r>
      <w:r>
        <w:rPr>
          <w:rFonts w:ascii="Times New Roman" w:hAnsi="Times New Roman"/>
          <w:sz w:val="28"/>
          <w:szCs w:val="28"/>
        </w:rPr>
      </w:r>
    </w:p>
    <w:p>
      <w:pPr>
        <w:pStyle w:val="para12"/>
        <w:spacing w:before="0" w:after="0"/>
        <w:rPr>
          <w:color w:val="ff0000"/>
        </w:rPr>
      </w:pPr>
      <w:r>
        <w:rPr>
          <w:color w:val="ff0000"/>
        </w:rPr>
      </w:r>
    </w:p>
    <w:p>
      <w:pPr>
        <w:pStyle w:val="para12"/>
        <w:spacing w:before="0" w:after="0"/>
      </w:pPr>
      <w:r>
        <w:t>1.6 Рынок услуг психолого-педагогического сопровождения детей с ограниченными возможностями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2024 на территории городского округа действовали 2 муниципальных казенных учреждения: «Реабилитационный центр для детей и подростков с ограниченными возможностями» и «Социально-реабилитационный центр для несовершеннолетних», а также Благотворительный фонд помощи детям «Загадай желание», оказывающие услуги психолого-педагогического сопровождения детей с ограниченными возможностями здоровья.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Обоснование проблемы: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основными проблемами являются очень высокая стоимость реабилитационных мероприятий, оборудования, обучения специалистов;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высокие требования в отношении соблюдения санитарных норм, пожарной безопасности, обеспечения без барьерного доступа, предъявляемые к организациям, осуществляющим социальное обслуживание детей (вне зависимости от форм собственности).</w:t>
      </w:r>
      <w:r>
        <w:rPr>
          <w:rFonts w:ascii="Times New Roman" w:hAnsi="Times New Roman"/>
          <w:sz w:val="28"/>
          <w:szCs w:val="28"/>
        </w:rPr>
      </w:r>
    </w:p>
    <w:p>
      <w:pPr>
        <w:pStyle w:val="para12"/>
        <w:spacing w:before="0" w:after="0"/>
      </w:pPr>
      <w:r/>
    </w:p>
    <w:p>
      <w:pPr>
        <w:pStyle w:val="para12"/>
        <w:spacing w:before="0" w:after="0"/>
      </w:pPr>
      <w:r>
        <w:t>1.7 Рынок социальных услуг</w:t>
      </w:r>
    </w:p>
    <w:p>
      <w:pPr>
        <w:ind w:firstLine="709"/>
        <w:spacing w:after="0" w:line="240" w:lineRule="auto"/>
        <w:jc w:val="both"/>
        <w:tabs defTabSz="708">
          <w:tab w:val="left" w:pos="13925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ind w:firstLine="708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2024 на территории городского округа действовало 10 организаций, которые оказывали социальные услуги:</w:t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Управление социальной защиты населения администрации Анжеро-Судженского городского округа;</w:t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- 3 муниципальных учреждения: МКУ «Реабилитационный центр для детей и подростков с ограниченными возможностями», МКУ «Социально-реабилитационный центр для несовершеннолетних» и МБУ «Комплексный центр социального обслуживания населения»;</w:t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- 2 государственных бюджетных стационарных учреждения социального обслуживания Кемеровской области: «Анжеро-Судженский дом-интернат для престарелых и инвалидов» и «Анжеро-Судженский психоневрологический дом-интернат»;</w:t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- 4 негосударственные организации: Благотворительный фонд помощи детям «Загадай желание» (с ноября 2016 г.);</w:t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Автономная некоммерческая организация «Центр поддержки несовершеннолетних», оказавшихся в трудной жизненной ситуации «Планета детства» (с сентября 2019 г.);</w:t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Автономная некоммерческая организация социальной поддержки граждан, находящихся в трудной жизненной ситуации «Вектор добра» (с декабря 2022 г.);</w:t>
      </w:r>
      <w:r>
        <w:rPr>
          <w:rFonts w:ascii="Times New Roman" w:hAnsi="Times New Roman"/>
          <w:sz w:val="28"/>
          <w:szCs w:val="28"/>
        </w:rPr>
      </w:r>
    </w:p>
    <w:p>
      <w:pPr>
        <w:pStyle w:val="para15"/>
        <w:ind w:firstLine="708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Автономная некоммерческая организация поддержки участников СВО и членов их семей «Рука помощи» (с августа 2023 г.).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spacing w:after="0" w:line="240" w:lineRule="auto"/>
        <w:jc w:val="both"/>
        <w:tabs defTabSz="708">
          <w:tab w:val="left" w:pos="13925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Обоснование проблемы: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spacing w:after="0" w:line="240" w:lineRule="auto"/>
        <w:jc w:val="both"/>
        <w:tabs defTabSz="708">
          <w:tab w:val="left" w:pos="13925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низкая доходность и специфика рынка. Потребителями рынка услуг социального обслуживания населения в большинстве своем являются неплатежеспособные или низко платёжеспособные граждане;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отсутствие в регионе, муниципальных образованиях Кемеровской области мер имущественной поддержки (льготная аренда помещений, предоставление помещений в безвозмездное пользование, содействие в обеспечении требований пожарной безопасности, доступной среды, компенсация коммунальных платежей и т.д.)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12"/>
        <w:spacing w:before="0" w:after="0"/>
      </w:pPr>
      <w:r/>
    </w:p>
    <w:p>
      <w:pPr>
        <w:pStyle w:val="para12"/>
        <w:spacing w:before="0" w:after="0"/>
        <w:rPr>
          <w:color w:val="000000"/>
        </w:rPr>
      </w:pPr>
      <w:r>
        <w:rPr>
          <w:color w:val="000000"/>
        </w:rPr>
        <w:t>1.8. Рынок Теплоснабжения (производство тепловой энергии)</w:t>
      </w:r>
      <w:r>
        <w:rPr>
          <w:color w:val="000000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 территории городского округа тепловую энергию потребителям реализуют 3 регулируемые организации, вид деятельности которых включает производство и передачу пара и горячей воды (тепловой энергии) котельными. Данные ресурсоснабжающие организации имеют частную форму собственности - ООО "ТеплоРесурс", АО «Каскад-Энерго», ООО «Мир тепла».</w:t>
      </w:r>
      <w:r>
        <w:rPr>
          <w:rFonts w:ascii="Times New Roman" w:hAnsi="Times New Roman"/>
          <w:color w:val="000000"/>
          <w:sz w:val="28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01.01.2025 заключено 20 концессионных соглашений. За 2024 год оформлено в отношении 8 объектов теплоснабжения оформлено право муниципальной собственности, 3 объекта теплоснабжения поставлено на учет как бесхозяйные.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2024 году концессионные соглашения не расторгались. 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spacing w:after="0" w:line="240" w:lineRule="auto"/>
        <w:jc w:val="both"/>
        <w:tabs defTabSz="709">
          <w:tab w:val="center" w:pos="2310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Обоснование проблемы: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значительные первоначальные капитальные вложения в развитие бизнеса;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высокий уровень износа основных фондов.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жесткое регулирование тарифа со стороны уполномоченного органа.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para12"/>
        <w:spacing w:before="0" w:after="0"/>
        <w:rPr>
          <w:color w:val="ff0000"/>
        </w:rPr>
      </w:pPr>
      <w:r>
        <w:rPr>
          <w:color w:val="ff0000"/>
        </w:rPr>
      </w:r>
    </w:p>
    <w:p>
      <w:pPr>
        <w:pStyle w:val="para12"/>
        <w:spacing w:before="0" w:after="0"/>
        <w:rPr>
          <w:color w:val="000000"/>
        </w:rPr>
      </w:pPr>
      <w:r>
        <w:rPr>
          <w:color w:val="000000"/>
        </w:rPr>
        <w:t>1.9 Рынок выполнения работ по благоустройству городской среды</w:t>
      </w:r>
      <w:r>
        <w:rPr>
          <w:color w:val="000000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 состоянию на 01.01.2025 года на территории муниципального образования «Анжеро-Судженский городской округ» 30 организаций оказывают услуги по благоустройству городской среды.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Всего площадь благоустраиваемой территории городского округа составляет 5380 тыс.кв.м. Озелененная территория городского округа составляет 179 га.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 состоянию на 01.01.2025 на территории муниципального образования «Анжеро-Судженский городской округ» отсутствуют муниципальные унитарные предприятия и муниципальные предприятия, оказывающие услуги по благоустройству городской среды.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spacing w:after="0" w:line="240" w:lineRule="auto"/>
        <w:jc w:val="both"/>
        <w:tabs defTabSz="709">
          <w:tab w:val="left" w:pos="13925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Обоснование проблемы: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color w:val="000000"/>
          <w:sz w:val="28"/>
        </w:rPr>
        <w:t xml:space="preserve">- </w:t>
      </w:r>
      <w:r>
        <w:rPr>
          <w:rFonts w:ascii="Times New Roman" w:hAnsi="Times New Roman"/>
          <w:color w:val="000000"/>
          <w:sz w:val="28"/>
          <w:lang w:eastAsia="ru-ru"/>
        </w:rPr>
        <w:t>низкий уровень конкуренции на данном рынке</w:t>
      </w:r>
      <w:r>
        <w:rPr>
          <w:rFonts w:ascii="Times New Roman" w:hAnsi="Times New Roman"/>
          <w:color w:val="000000"/>
          <w:sz w:val="28"/>
          <w:lang w:eastAsia="ru-ru"/>
        </w:rPr>
      </w:r>
    </w:p>
    <w:p>
      <w:pPr>
        <w:pStyle w:val="para12"/>
        <w:spacing w:before="0" w:after="0"/>
        <w:rPr>
          <w:color w:val="ff0000"/>
        </w:rPr>
      </w:pPr>
      <w:r>
        <w:rPr>
          <w:color w:val="ff0000"/>
        </w:rPr>
      </w:r>
    </w:p>
    <w:p>
      <w:pPr>
        <w:pStyle w:val="para12"/>
        <w:spacing w:before="0" w:after="0"/>
        <w:rPr>
          <w:color w:val="000000"/>
        </w:rPr>
      </w:pPr>
      <w:r>
        <w:rPr>
          <w:color w:val="000000"/>
        </w:rPr>
        <w:t>1.10 Рынок выполнения работ по содержанию и текущему ремонту общего имущества собственников помещений в многоквартирном доме</w:t>
      </w:r>
      <w:r>
        <w:rPr>
          <w:color w:val="000000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01.01.2025 г. согласно информационной системе ГИС ЖКХ числится 558 многоквартирных жилых дома и 1519 домов блокированной застройки. В настоящее время 14 организаций, осуществляют управление жилищным фондом городского округа.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spacing w:after="0" w:line="240" w:lineRule="auto"/>
        <w:jc w:val="both"/>
        <w:tabs defTabSz="708">
          <w:tab w:val="left" w:pos="13925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Обоснование проблемы: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firstLine="709"/>
        <w:spacing w:after="0" w:line="240" w:lineRule="auto"/>
        <w:jc w:val="both"/>
        <w:tabs defTabSz="708">
          <w:tab w:val="left" w:pos="13925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качество предоставляемых услуг на данном рынке;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firstLine="709"/>
        <w:spacing w:after="0" w:line="240" w:lineRule="auto"/>
        <w:jc w:val="both"/>
        <w:tabs defTabSz="708">
          <w:tab w:val="left" w:pos="13925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платежеспособность населения;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firstLine="709"/>
        <w:spacing w:after="0" w:line="240" w:lineRule="auto"/>
        <w:jc w:val="both"/>
        <w:tabs defTabSz="708">
          <w:tab w:val="left" w:pos="13925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большой процент износа многоквартирных домов требует проведения дорогостоящего капитального ремонта.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para12"/>
        <w:spacing w:before="0" w:after="0"/>
        <w:rPr>
          <w:color w:val="000000"/>
        </w:rPr>
      </w:pPr>
      <w:r>
        <w:rPr>
          <w:color w:val="000000"/>
        </w:rPr>
      </w:r>
    </w:p>
    <w:p>
      <w:pPr>
        <w:pStyle w:val="para12"/>
        <w:spacing w:before="0" w:after="0"/>
        <w:rPr>
          <w:color w:val="000000"/>
        </w:rPr>
      </w:pPr>
      <w:r>
        <w:rPr>
          <w:color w:val="000000"/>
        </w:rPr>
        <w:t>1.11 Рынок поставок сжиженного газа в баллонах</w:t>
      </w:r>
      <w:r>
        <w:rPr>
          <w:color w:val="000000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Кемеровской области осуществляют деятельность 13 организаций частной формы собственности, занимающиеся отпуском сжиженного газа в баллонах населению.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Рынок поставок сжиженного газа в баллонах на территории Анжеро-Судженского городского округа представлен ООО «Анжерский горгаз».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firstLine="709"/>
        <w:spacing w:after="0" w:line="240" w:lineRule="auto"/>
        <w:jc w:val="both"/>
        <w:tabs defTabSz="708">
          <w:tab w:val="left" w:pos="13925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Обоснование проблемы: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недостаточное количество организаций на данном рынке.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para12"/>
        <w:spacing w:before="0" w:after="0"/>
        <w:rPr>
          <w:color w:val="000000"/>
        </w:rPr>
      </w:pPr>
      <w:r>
        <w:rPr>
          <w:color w:val="000000"/>
        </w:rPr>
      </w:r>
    </w:p>
    <w:p>
      <w:pPr>
        <w:pStyle w:val="para12"/>
        <w:spacing w:before="0" w:after="0"/>
        <w:rPr>
          <w:color w:val="000000"/>
        </w:rPr>
      </w:pPr>
      <w:r>
        <w:rPr>
          <w:color w:val="000000"/>
        </w:rPr>
        <w:t>1.12 Рынок оказания услуг по перевозке пассажиров автомобильным транспортом по муниципальным маршрутам регулярных перевозок</w:t>
      </w:r>
      <w:r>
        <w:rPr>
          <w:color w:val="000000"/>
        </w:rPr>
      </w:r>
    </w:p>
    <w:p>
      <w:pPr>
        <w:ind w:firstLine="709"/>
        <w:spacing w:after="0" w:line="240" w:lineRule="auto"/>
        <w:jc w:val="both"/>
        <w:tabs defTabSz="708">
          <w:tab w:val="left" w:pos="13925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firstLine="709"/>
        <w:spacing w:after="0" w:line="240" w:lineRule="auto"/>
        <w:jc w:val="both"/>
        <w:tabs defTabSz="708">
          <w:tab w:val="left" w:pos="13925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Пассажирские автотранспортные предприятия, оказывающие услуги по перевозке пассажиров автомобильным транспортом по муниципальным маршрутам регулярных перевозок Анжеро-Судженского городского округа включают: 1 государственное предприятие (филиал ГПК ПАТ г.Анжеро-Судженск) и 1 организация частной формы собственности ИП Липунов М.В.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firstLine="709"/>
        <w:spacing w:after="0" w:line="240" w:lineRule="auto"/>
        <w:jc w:val="both"/>
        <w:tabs defTabSz="708">
          <w:tab w:val="left" w:pos="13925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Обоснование проблемы: 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firstLine="709"/>
        <w:spacing w:after="0" w:line="240" w:lineRule="auto"/>
        <w:jc w:val="both"/>
        <w:tabs defTabSz="708">
          <w:tab w:val="left" w:pos="13925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значительные капитальные вложения на приобретение подвижного состава;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firstLine="709"/>
        <w:spacing w:after="0" w:line="240" w:lineRule="auto"/>
        <w:jc w:val="both"/>
        <w:tabs defTabSz="708">
          <w:tab w:val="left" w:pos="13925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значительный срок окупаемости капитальных вложений;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firstLine="709"/>
        <w:spacing w:after="0" w:line="240" w:lineRule="auto"/>
        <w:jc w:val="both"/>
        <w:tabs defTabSz="708">
          <w:tab w:val="left" w:pos="13925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отсутствие эффективной поддержки отрасли;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firstLine="709"/>
        <w:spacing w:after="0" w:line="240" w:lineRule="auto"/>
        <w:jc w:val="both"/>
        <w:tabs defTabSz="708">
          <w:tab w:val="left" w:pos="13925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ограничения в виде законодательных актов, определяющих экономическую и налоговую политику;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firstLine="709"/>
        <w:spacing w:after="0" w:line="240" w:lineRule="auto"/>
        <w:jc w:val="both"/>
        <w:tabs defTabSz="708">
          <w:tab w:val="left" w:pos="13925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низкая доходность деятельности вследствие государственного регулирования тарифов, обеспечивающих транспортную доступность для всех слоев населения;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firstLine="709"/>
        <w:spacing w:after="0" w:line="240" w:lineRule="auto"/>
        <w:jc w:val="both"/>
        <w:tabs defTabSz="708">
          <w:tab w:val="left" w:pos="13925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неразвитость инфраструктуры - плохие дороги.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para12"/>
        <w:spacing w:before="0" w:after="0"/>
        <w:rPr>
          <w:color w:val="000000"/>
        </w:rPr>
      </w:pPr>
      <w:r>
        <w:rPr>
          <w:color w:val="000000"/>
        </w:rPr>
      </w:r>
    </w:p>
    <w:p>
      <w:pPr>
        <w:pStyle w:val="para12"/>
        <w:spacing w:before="0" w:after="0"/>
        <w:rPr>
          <w:color w:val="000000"/>
        </w:rPr>
      </w:pPr>
      <w:r>
        <w:rPr>
          <w:color w:val="000000"/>
        </w:rPr>
        <w:t xml:space="preserve">1.13. Рынок оказания услуг по перевозке пассажиров и багажа легковым такси на территории городского округа </w:t>
      </w:r>
      <w:r>
        <w:rPr>
          <w:color w:val="000000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Все организации, осуществляющие деятельность по оказанию услуг по перевозке пассажиров и багажа легковым такси на территории городского округа находятся в собственности частных организаций.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firstLine="709"/>
        <w:spacing w:after="0" w:line="240" w:lineRule="auto"/>
        <w:jc w:val="both"/>
        <w:tabs defTabSz="708">
          <w:tab w:val="left" w:pos="13925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Обоснование проблемы: 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значительная доля нелегальных перевозчиков; 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низкое качество оказываемых услуг по перевозке пассажиров и багажа легковым такси.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para12"/>
        <w:spacing w:before="0" w:after="0"/>
        <w:rPr>
          <w:color w:val="ff0000"/>
        </w:rPr>
      </w:pPr>
      <w:r>
        <w:rPr>
          <w:color w:val="ff0000"/>
        </w:rPr>
      </w:r>
    </w:p>
    <w:p>
      <w:pPr>
        <w:pStyle w:val="para12"/>
        <w:spacing w:before="0" w:after="0"/>
        <w:rPr>
          <w:color w:val="000000"/>
        </w:rPr>
      </w:pPr>
      <w:r>
        <w:rPr>
          <w:color w:val="000000"/>
        </w:rPr>
        <w:t>1.14 Рынок услуг связи, в том числе услуг по предоставлению широкополосного доступа к информационно-телекоммуникационной сети «Интернет»</w:t>
      </w:r>
      <w:r>
        <w:rPr>
          <w:color w:val="000000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Все организации, осуществляющие деятельность по оказанию слуг связи, в том числе услуг по предоставлению широкополосного доступа к информационно-телекоммуникационной сети «Интернет» на территории городского округа находятся в собственности частных организаций.</w:t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ind w:firstLine="709"/>
        <w:spacing w:after="0" w:line="240" w:lineRule="auto"/>
        <w:jc w:val="both"/>
        <w:tabs defTabSz="708">
          <w:tab w:val="left" w:pos="13925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Обоснование проблемы: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низкая конкуренция на рынке услуг широкополосного доступа к информационно-телекоммуникационной сети «Интернет».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para12"/>
        <w:spacing w:before="0" w:after="0"/>
        <w:rPr>
          <w:color w:val="000000"/>
        </w:rPr>
      </w:pPr>
      <w:r>
        <w:rPr>
          <w:color w:val="000000"/>
        </w:rPr>
      </w:r>
    </w:p>
    <w:p>
      <w:pPr>
        <w:pStyle w:val="para12"/>
        <w:spacing w:before="0" w:after="0"/>
        <w:rPr>
          <w:color w:val="000000"/>
        </w:rPr>
      </w:pPr>
      <w:r>
        <w:rPr>
          <w:color w:val="000000"/>
        </w:rPr>
        <w:t>1.15. Рынок добычи общераспространённых полезных ископаемых на участках недр местного значения</w:t>
      </w:r>
      <w:r>
        <w:rPr>
          <w:color w:val="000000"/>
        </w:rPr>
      </w:r>
    </w:p>
    <w:p>
      <w:pPr>
        <w:ind w:firstLine="709"/>
        <w:spacing w:after="0" w:line="240" w:lineRule="auto"/>
        <w:jc w:val="both"/>
        <w:tabs defTabSz="708">
          <w:tab w:val="center" w:pos="2310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spacing w:after="0" w:line="240" w:lineRule="auto"/>
        <w:jc w:val="both"/>
        <w:tabs defTabSz="708">
          <w:tab w:val="center" w:pos="2310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состоянию на 01.01.2025 года на территории Анжеро-Судженского городского округа действует 4 лицензии на пользование недрами с целью геологическое изучения, включающего поиски и оценку месторождений полезных ископаемых, разведку и добычу полезных ископаемых, в том числе использование отходов горнодобывающего предприятия и связанных с ним перерабатывающих производств. Владельцами лицензий являются организации частной формы собственности АО «Кузнецкие ферросплавы», </w:t>
      </w:r>
      <w:r>
        <w:rPr>
          <w:rStyle w:val="char10"/>
          <w:rFonts w:ascii="Times New Roman" w:hAnsi="Times New Roman" w:cs="Times New Roman"/>
          <w:color w:val="000000"/>
          <w:sz w:val="28"/>
          <w:szCs w:val="28"/>
        </w:rPr>
        <w:t>ООО "</w:t>
      </w:r>
      <w:r>
        <w:rPr>
          <w:rStyle w:val="char10"/>
          <w:rFonts w:ascii="Times New Roman" w:hAnsi="Times New Roman" w:cs="Times New Roman"/>
          <w:bCs/>
          <w:color w:val="000000"/>
          <w:sz w:val="28"/>
          <w:szCs w:val="28"/>
        </w:rPr>
        <w:t>СИБАНТРАЦИТ</w:t>
      </w:r>
      <w:r>
        <w:rPr>
          <w:rStyle w:val="char1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char10"/>
          <w:rFonts w:ascii="Times New Roman" w:hAnsi="Times New Roman" w:cs="Times New Roman"/>
          <w:bCs/>
          <w:color w:val="000000"/>
          <w:sz w:val="28"/>
          <w:szCs w:val="28"/>
        </w:rPr>
        <w:t>КУЗБАСС</w:t>
      </w:r>
      <w:r>
        <w:rPr>
          <w:rStyle w:val="char10"/>
          <w:rFonts w:ascii="Times New Roman" w:hAnsi="Times New Roman" w:cs="Times New Roman"/>
          <w:color w:val="000000"/>
          <w:sz w:val="28"/>
          <w:szCs w:val="28"/>
        </w:rPr>
        <w:t xml:space="preserve">" и </w:t>
      </w:r>
      <w:r>
        <w:rPr>
          <w:rStyle w:val="char10"/>
          <w:rFonts w:ascii="Times New Roman" w:hAnsi="Times New Roman" w:cs="Times New Roman"/>
          <w:bCs/>
          <w:color w:val="000000"/>
          <w:sz w:val="28"/>
          <w:szCs w:val="28"/>
        </w:rPr>
        <w:t>ООО</w:t>
      </w:r>
      <w:r>
        <w:rPr>
          <w:rStyle w:val="char1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char10"/>
          <w:rFonts w:ascii="Times New Roman" w:hAnsi="Times New Roman" w:cs="Times New Roman"/>
          <w:bCs/>
          <w:color w:val="000000"/>
          <w:sz w:val="28"/>
          <w:szCs w:val="28"/>
        </w:rPr>
        <w:t>СП</w:t>
      </w:r>
      <w:r>
        <w:rPr>
          <w:rStyle w:val="char10"/>
          <w:rFonts w:ascii="Times New Roman" w:hAnsi="Times New Roman" w:cs="Times New Roman"/>
          <w:color w:val="000000"/>
          <w:sz w:val="28"/>
          <w:szCs w:val="28"/>
        </w:rPr>
        <w:t xml:space="preserve"> «</w:t>
      </w:r>
      <w:r>
        <w:rPr>
          <w:rStyle w:val="char10"/>
          <w:rFonts w:ascii="Times New Roman" w:hAnsi="Times New Roman" w:cs="Times New Roman"/>
          <w:bCs/>
          <w:color w:val="000000"/>
          <w:sz w:val="28"/>
          <w:szCs w:val="28"/>
        </w:rPr>
        <w:t>Барзасское</w:t>
      </w:r>
      <w:r>
        <w:rPr>
          <w:rStyle w:val="char1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char10"/>
          <w:rFonts w:ascii="Times New Roman" w:hAnsi="Times New Roman" w:cs="Times New Roman"/>
          <w:bCs/>
          <w:color w:val="000000"/>
          <w:sz w:val="28"/>
          <w:szCs w:val="28"/>
        </w:rPr>
        <w:t>товарищество</w:t>
      </w:r>
      <w:r>
        <w:rPr>
          <w:rStyle w:val="char10"/>
          <w:rFonts w:ascii="Times New Roman" w:hAnsi="Times New Roman" w:cs="Times New Roman"/>
          <w:color w:val="000000"/>
          <w:sz w:val="28"/>
          <w:szCs w:val="28"/>
        </w:rPr>
        <w:t>».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spacing w:after="0" w:line="240" w:lineRule="auto"/>
        <w:jc w:val="both"/>
        <w:tabs defTabSz="708">
          <w:tab w:val="center" w:pos="2310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Обоснование проблемы: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firstLine="709"/>
        <w:spacing w:after="0" w:line="240" w:lineRule="auto"/>
        <w:jc w:val="both"/>
        <w:tabs defTabSz="708">
          <w:tab w:val="center" w:pos="2310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низкая эффективность использования сырьевой базы промышленности строительных материалов, обусловленная конъюнктурными колебаниями на рынке строительных материалов;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spacing w:after="0" w:line="240" w:lineRule="auto"/>
        <w:jc w:val="both"/>
        <w:tabs defTabSz="708">
          <w:tab w:val="center" w:pos="2310" w:leader="none"/>
        </w:tabs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низкий уровень использования существующего сырья местными производителями.</w:t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para12"/>
        <w:spacing w:before="0" w:after="0"/>
        <w:rPr>
          <w:color w:val="000000"/>
        </w:rPr>
      </w:pPr>
      <w:r>
        <w:rPr>
          <w:color w:val="000000"/>
        </w:rPr>
      </w:r>
    </w:p>
    <w:p>
      <w:pPr>
        <w:pStyle w:val="para12"/>
        <w:spacing w:before="0" w:after="0"/>
        <w:rPr>
          <w:color w:val="000000"/>
        </w:rPr>
      </w:pPr>
      <w:r>
        <w:rPr>
          <w:color w:val="000000"/>
        </w:rPr>
        <w:t>1.16. Рынок нефтепродуктов</w:t>
      </w:r>
      <w:r>
        <w:rPr>
          <w:color w:val="000000"/>
        </w:rPr>
      </w:r>
    </w:p>
    <w:p>
      <w:pPr>
        <w:pStyle w:val="para4"/>
        <w:ind w:firstLine="709"/>
        <w:spacing w:before="0" w:after="0" w:beforeAutospacing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para4"/>
        <w:ind w:firstLine="709"/>
        <w:spacing w:before="0" w:after="0" w:beforeAutospacing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территории Анжеро-Судженского городского округа осуществлет деятельность по переработке нефти </w:t>
      </w:r>
      <w:r>
        <w:rPr>
          <w:bCs/>
          <w:color w:val="000000"/>
          <w:sz w:val="28"/>
          <w:szCs w:val="28"/>
        </w:rPr>
        <w:t xml:space="preserve">Яйский нефтеперерабатывающий завод </w:t>
      </w:r>
      <w:r>
        <w:rPr>
          <w:color w:val="000000"/>
          <w:sz w:val="28"/>
          <w:szCs w:val="28"/>
        </w:rPr>
        <w:t>топливного профиля, который введен в эксплуатацию в 2013 году.</w:t>
      </w:r>
      <w:r>
        <w:rPr>
          <w:rFonts w:eastAsia="Calibri" w:cs="Calibri"/>
          <w:color w:val="000000"/>
          <w:sz w:val="28"/>
          <w:szCs w:val="28"/>
          <w:lang w:eastAsia="en-us"/>
        </w:rPr>
        <w:t xml:space="preserve"> Нефтеперерабатывающий комплекс </w:t>
      </w:r>
      <w:r>
        <w:rPr>
          <w:color w:val="000000"/>
          <w:sz w:val="28"/>
          <w:szCs w:val="28"/>
        </w:rPr>
        <w:t>ЯЯНПЗ АО «Нефтехимсервис» объединяет в себе Северный Кузбасс-АНГК и ООО «Анжерская нефтегазовая компания».  Завод расположен в границах Анжеро-Судженского городского округа в непосредственной близости от магистрального нефтепровода и Транссибирской железнодорожной магистрали. Продукция реализуется как на территории Российской Федерации (Сибирский федеральный округ, Дальневосточный федеральный округ), так и в странах СНГ, Прибалтике, Нидерландах, Германии, Китае, Корее и Японии и др;).</w:t>
      </w:r>
      <w:r>
        <w:rPr>
          <w:color w:val="000000"/>
          <w:sz w:val="28"/>
          <w:szCs w:val="28"/>
        </w:rPr>
      </w:r>
    </w:p>
    <w:p>
      <w:pPr>
        <w:pStyle w:val="para4"/>
        <w:ind w:firstLine="709"/>
        <w:spacing w:before="0" w:after="0" w:beforeAutospacing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текущий момент предприятие приступило к реализации проекта по строительству третьей очереди, в рамках которого, к концу 2028 года будут построены два комплекса: </w:t>
      </w:r>
      <w:r>
        <w:rPr>
          <w:color w:val="000000"/>
          <w:sz w:val="28"/>
          <w:szCs w:val="28"/>
        </w:rPr>
      </w:r>
    </w:p>
    <w:p>
      <w:pPr>
        <w:pStyle w:val="para4"/>
        <w:ind w:firstLine="567"/>
        <w:spacing w:before="0" w:after="0" w:beforeAutospacing="0" w:afterAutospacing="0"/>
        <w:contextualSpacing/>
        <w:jc w:val="both"/>
        <w:suppressAutoHyphens/>
        <w:hyphenationLines w:val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6553856, 16777215, 1677721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комплекс депарафинизации мощностью 2,6 млн тонн в год;</w:t>
      </w:r>
      <w:r>
        <w:rPr>
          <w:color w:val="000000"/>
          <w:sz w:val="28"/>
          <w:szCs w:val="28"/>
        </w:rPr>
      </w:r>
    </w:p>
    <w:p>
      <w:pPr>
        <w:pStyle w:val="para4"/>
        <w:ind w:firstLine="567"/>
        <w:spacing w:before="0" w:after="0" w:beforeAutospacing="0" w:afterAutospacing="0"/>
        <w:contextualSpacing/>
        <w:jc w:val="both"/>
        <w:suppressAutoHyphens/>
        <w:hyphenationLines w:val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6553856, 16777215, 1677721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установка замедленного коксования производительностью 1,3 млн тонн в год.</w:t>
      </w:r>
      <w:r>
        <w:rPr>
          <w:color w:val="000000"/>
          <w:sz w:val="28"/>
          <w:szCs w:val="28"/>
        </w:rPr>
      </w:r>
    </w:p>
    <w:p>
      <w:pPr>
        <w:pStyle w:val="para4"/>
        <w:ind w:firstLine="567"/>
        <w:spacing w:before="0" w:after="0" w:beforeAutospacing="0" w:afterAutospacing="0"/>
        <w:contextualSpacing/>
        <w:jc w:val="both"/>
        <w:suppressAutoHyphens/>
        <w:hyphenationLines w:val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6553856, 16777215, 16777215"/>
        <w:rPr>
          <w:rFonts w:eastAsia="Calibri" w:cs="Calibri"/>
          <w:color w:val="000000"/>
          <w:sz w:val="28"/>
          <w:szCs w:val="28"/>
          <w:lang w:eastAsia="en-us"/>
        </w:rPr>
      </w:pPr>
      <w:r>
        <w:rPr>
          <w:rFonts w:eastAsia="Calibri" w:cs="Calibri"/>
          <w:color w:val="000000"/>
          <w:sz w:val="28"/>
          <w:szCs w:val="28"/>
          <w:lang w:eastAsia="en-us"/>
        </w:rPr>
        <w:t>Обоснование проблемы:</w:t>
      </w:r>
      <w:r>
        <w:rPr>
          <w:rFonts w:eastAsia="Calibri" w:cs="Calibri"/>
          <w:color w:val="000000"/>
          <w:sz w:val="28"/>
          <w:szCs w:val="28"/>
          <w:lang w:eastAsia="en-us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высокая себестоимость продукции;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государственное регулирование ценовой политики;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-высокая конкуренция с нефтеперерабатывающими предприятиями близлежащих регионов.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pStyle w:val="para12"/>
        <w:spacing w:before="0" w:after="0"/>
        <w:rPr>
          <w:color w:val="000000"/>
        </w:rPr>
      </w:pPr>
      <w:r>
        <w:rPr>
          <w:color w:val="000000"/>
        </w:rPr>
      </w:r>
    </w:p>
    <w:p>
      <w:pPr>
        <w:pStyle w:val="para12"/>
        <w:spacing w:before="0" w:after="0"/>
        <w:rPr>
          <w:color w:val="000000"/>
        </w:rPr>
      </w:pPr>
      <w:r>
        <w:rPr>
          <w:color w:val="000000"/>
        </w:rPr>
        <w:t>1.17. Рынок легкой промышленности</w:t>
      </w:r>
      <w:r>
        <w:rPr>
          <w:color w:val="000000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сфере текстильной и легкой промышленности на территории Анжеро-Судженского городского округа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осуществляет свою деятельность</w:t>
      </w:r>
      <w:r>
        <w:rPr>
          <w:rFonts w:ascii="Times New Roman" w:hAnsi="Times New Roman"/>
          <w:color w:val="000000"/>
          <w:sz w:val="28"/>
          <w:szCs w:val="28"/>
        </w:rPr>
        <w:t xml:space="preserve"> одна организация ООО «Фламинго».</w:t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ind w:firstLine="709"/>
        <w:spacing w:after="0" w:line="240" w:lineRule="auto"/>
        <w:jc w:val="both"/>
        <w:tabs defTabSz="708">
          <w:tab w:val="left" w:pos="13925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Обоснование проблемы: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высокая конкуренция на внутреннем рынке между российскими и зарубежными товаропроизводителями;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высокий удельный вес дешевых товаров китайского производства;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отсутствие равных конкурентных возможностей с иностранными производителями;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недостаточный уровень инвестиций, необходимых для модернизации отрасли и внедрения современных технологий;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нехватка собственных оборотных средств;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сложность в получении льготных кредитов предприятиями легкой промышленности;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низкая заработная плата.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para12"/>
        <w:spacing w:before="0" w:after="0"/>
        <w:rPr>
          <w:color w:val="000000"/>
        </w:rPr>
      </w:pPr>
      <w:r>
        <w:rPr>
          <w:color w:val="000000"/>
        </w:rPr>
        <w:t>1.18 Рынок обработки древесины и производство изделий из дерева</w:t>
      </w:r>
      <w:r>
        <w:rPr>
          <w:color w:val="000000"/>
        </w:rPr>
      </w:r>
    </w:p>
    <w:p>
      <w:pPr>
        <w:ind w:firstLine="709"/>
        <w:spacing w:after="0" w:line="240" w:lineRule="auto"/>
        <w:jc w:val="both"/>
        <w:tabs defTabSz="708">
          <w:tab w:val="left" w:pos="13925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spacing w:after="0" w:line="240" w:lineRule="auto"/>
        <w:jc w:val="both"/>
        <w:tabs defTabSz="708">
          <w:tab w:val="left" w:pos="13925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территории Анжеро-Судженского городского округа зарегистрированы 4 предприятия в области деревообработки. (ИП Бураков Э.В., ООО «Аверс-Лес-Инвест», ООО «ЛПК», ООО «Леспромакс»).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spacing w:after="0" w:line="240" w:lineRule="auto"/>
        <w:jc w:val="both"/>
        <w:tabs defTabSz="708">
          <w:tab w:val="left" w:pos="13925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Обоснование проблемы: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недостаточная развитость мощностей по глубокой переработке древесного сырья, создание которых может вовлечь в оборот невостребованную в настоящее время низкокачественную древесину;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низкий уровень использования отходов лесопиления; недостаток инвестиций в лесопромышленный и деревообрабатывающий комплекс, связанный с низкой инвестиционной привлекательностью многих предприятий.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1.19 Рынок повышения финансовой грамотности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 целью повышения финансовой грамотности и снижения уровня закредитованности населения на официальном сайте Анжеро-Судженского городского округа создан раздел «Повышение уровня финансовой грамотности населения». В данном разделе размещается информация, в которой указывается порядок мер, направленных на воссоздание у населения должного поведения для принятия денежных вопросов, которые касаются поднятия услуг и личных средств людей (информация о рынке ценных бумаг, банковском секторе, страхование, негосударственное пенсионное обеспечение, измение в налоговом законодательстве и другое). Информация постоянно обновляется с учетом развития финансового рынка и нормативно-правовой базы.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административном здании установлен информационный уголок, для населения города, где собрана полезная информация как принять взвешенные и правильные решения в области финансов.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Информационно-разъяснительная работа по повышению финансовой грамотности проводится для всех категорий населения путем публикации информации в местных печатных СМИ, а также распространения материалов в местах массового скопления людей.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Оценка состояния конкурентной среды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Оценка состояния конкурентной среды проводится посредством оценки достижения плановых значений целевых показателей, установленных планом мероприятий по содействию развитию конкуренции в Анжеро-Судженском городском округе на 2024 год.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Отчет о достижении целевых показателей по содействию развитию конкуренции на территории Анжеро-Судженского городского округа за 2024 год представлен в приложении к докладу.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para12"/>
        <w:spacing w:before="0" w:after="0"/>
        <w:rPr>
          <w:color w:val="000000"/>
        </w:rPr>
      </w:pPr>
      <w:r>
        <w:rPr>
          <w:color w:val="000000"/>
        </w:rPr>
        <w:t>2. Системные мероприятия по развитию конкурентной среды в Анжеро-Судженском городском округе</w:t>
      </w:r>
      <w:r>
        <w:rPr>
          <w:color w:val="000000"/>
        </w:rPr>
      </w:r>
    </w:p>
    <w:p>
      <w:pPr>
        <w:pStyle w:val="para12"/>
        <w:spacing w:before="0" w:after="0"/>
        <w:rPr>
          <w:color w:val="000000"/>
        </w:rPr>
      </w:pPr>
      <w:r>
        <w:rPr>
          <w:color w:val="000000"/>
        </w:rPr>
        <w:t>2.1. Совершенствование процессов управления объектами муниципальной собственности в Анжеро-Судженском городском округе</w:t>
      </w:r>
      <w:r>
        <w:rPr>
          <w:color w:val="000000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Информация о реализации муниципального имущества Анжеро-Судженского городского округа регулярно размещается на официальном сайте Анжеро-Судженского городского округа в информационно-телекоммуникационной сети «Интернет» и на официальном сайте проведения торгов (</w:t>
      </w:r>
      <w:hyperlink r:id="rId8" w:history="1">
        <w:r>
          <w:rPr>
            <w:rStyle w:val="char6"/>
            <w:rFonts w:ascii="Times New Roman" w:hAnsi="Times New Roman" w:cs="Times New Roman"/>
            <w:color w:val="000000"/>
            <w:sz w:val="28"/>
            <w:szCs w:val="28"/>
          </w:rPr>
          <w:t>www.torgi.gov.ru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).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spacing w:after="0" w:line="240" w:lineRule="auto"/>
        <w:jc w:val="both"/>
        <w:widowControl w:val="0"/>
        <w:rPr>
          <w:rFonts w:ascii="Times New Roman" w:hAnsi="Times New Roman" w:eastAsia="Basic Roman" w:cs="Basic Roman"/>
          <w:color w:val="ff0000"/>
          <w:kern w:val="1"/>
          <w:sz w:val="28"/>
          <w:szCs w:val="20"/>
          <w:lang w:eastAsia="zh-cn"/>
        </w:rPr>
      </w:pPr>
      <w:r>
        <w:rPr>
          <w:rFonts w:ascii="Times New Roman" w:hAnsi="Times New Roman" w:eastAsia="Basic Roman" w:cs="Basic Roman"/>
          <w:color w:val="000000"/>
          <w:kern w:val="1"/>
          <w:sz w:val="28"/>
          <w:szCs w:val="20"/>
          <w:lang w:eastAsia="zh-cn"/>
        </w:rPr>
        <w:t>В соответствии с прогнозным планом приватизации муниципального имущества Анжеро-Судженского городского округа на 2024 год, утвержденным решением Совета народных депутатов Анжеро-Судженского городского округа от 30.06.2023 №188 «Об утверждении прогнозного плана приватизации муниципального имущества Анжеро-Судженского городского округа на 2024 год», к продаже было представлено 2 объекта недвижимого имущества муниципальной собственности.</w:t>
      </w:r>
      <w:r>
        <w:rPr>
          <w:rFonts w:ascii="Times New Roman" w:hAnsi="Times New Roman" w:eastAsia="Basic Roman" w:cs="Basic Roman"/>
          <w:color w:val="ff0000"/>
          <w:kern w:val="1"/>
          <w:sz w:val="28"/>
          <w:szCs w:val="20"/>
          <w:lang w:eastAsia="zh-cn"/>
        </w:rPr>
      </w:r>
    </w:p>
    <w:p>
      <w:pPr>
        <w:ind w:firstLine="709"/>
        <w:spacing w:after="0" w:line="240" w:lineRule="auto"/>
        <w:jc w:val="both"/>
        <w:widowControl w:val="0"/>
        <w:rPr>
          <w:rFonts w:ascii="Times New Roman" w:hAnsi="Times New Roman" w:eastAsia="Basic Roman" w:cs="Basic Roman"/>
          <w:color w:val="000000"/>
          <w:kern w:val="1"/>
          <w:sz w:val="28"/>
          <w:szCs w:val="20"/>
          <w:lang w:eastAsia="zh-cn"/>
        </w:rPr>
      </w:pPr>
      <w:r>
        <w:rPr>
          <w:rFonts w:ascii="Times New Roman" w:hAnsi="Times New Roman" w:eastAsia="Basic Roman" w:cs="Basic Roman"/>
          <w:color w:val="000000"/>
          <w:kern w:val="1"/>
          <w:sz w:val="28"/>
          <w:szCs w:val="20"/>
          <w:lang w:eastAsia="zh-cn"/>
        </w:rPr>
        <w:t xml:space="preserve">Фактически по итогам 2024 года было заключено 3 договора купли-продажи муниципального имущества на сумму 4707,71 тыс.руб. без учета НДС. </w:t>
      </w:r>
      <w:r>
        <w:rPr>
          <w:rFonts w:ascii="Times New Roman" w:hAnsi="Times New Roman" w:eastAsia="Basic Roman" w:cs="Basic Roman"/>
          <w:color w:val="000000"/>
          <w:kern w:val="1"/>
          <w:sz w:val="28"/>
          <w:szCs w:val="20"/>
          <w:lang w:eastAsia="zh-cn"/>
        </w:rPr>
      </w:r>
    </w:p>
    <w:p>
      <w:pPr>
        <w:pStyle w:val="para12"/>
        <w:spacing w:before="0" w:after="0"/>
        <w:rPr>
          <w:color w:val="000000"/>
        </w:rPr>
      </w:pPr>
      <w:r>
        <w:rPr>
          <w:color w:val="000000"/>
        </w:rPr>
      </w:r>
    </w:p>
    <w:p>
      <w:pPr>
        <w:pStyle w:val="para12"/>
        <w:spacing w:before="0" w:after="0"/>
        <w:rPr>
          <w:color w:val="000000"/>
        </w:rPr>
      </w:pPr>
      <w:r>
        <w:rPr>
          <w:color w:val="000000"/>
        </w:rPr>
        <w:t>2.2. Содействие созданию и развитию институтов поддержки субъектов малого предпринимательства в инновационной деятельности, обеспечивающих благоприятную экономическую среду для среднего и крупного бизнеса</w:t>
      </w:r>
      <w:r>
        <w:rPr>
          <w:color w:val="000000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Субъектам малого и инновационного предпринимательства оказываются консультативные услуги по вопросам подготовки бизнес-планов для получения государственной поддержки на начальной стадии развития.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para12"/>
        <w:spacing w:before="0" w:after="0"/>
        <w:rPr>
          <w:color w:val="000000"/>
        </w:rPr>
      </w:pPr>
      <w:r>
        <w:rPr>
          <w:color w:val="000000"/>
        </w:rPr>
      </w:r>
    </w:p>
    <w:p>
      <w:pPr>
        <w:pStyle w:val="para12"/>
        <w:spacing w:before="0" w:after="0"/>
        <w:rPr>
          <w:b w:val="0"/>
          <w:color w:val="000000"/>
        </w:rPr>
      </w:pPr>
      <w:r>
        <w:rPr>
          <w:color w:val="000000"/>
        </w:rPr>
        <w:t>2</w:t>
      </w:r>
      <w:r>
        <w:rPr>
          <w:rStyle w:val="char12"/>
          <w:color w:val="000000"/>
        </w:rPr>
        <w:t>.3. Стимулирование новых предпринимательских инициатив, обеспечивающих возможности для поиска, отбора и обучения потенциальных предпринимателей</w:t>
      </w:r>
      <w:r>
        <w:rPr>
          <w:b w:val="0"/>
          <w:color w:val="000000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Инвестиционные мероприятия организуются и проводятся на регулярной основе.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para12"/>
        <w:spacing w:before="0" w:after="0"/>
        <w:rPr>
          <w:color w:val="000000"/>
        </w:rPr>
      </w:pPr>
      <w:r>
        <w:rPr>
          <w:color w:val="000000"/>
        </w:rPr>
      </w:r>
    </w:p>
    <w:p>
      <w:pPr>
        <w:pStyle w:val="para12"/>
        <w:spacing w:before="0" w:after="0"/>
        <w:rPr>
          <w:color w:val="000000"/>
        </w:rPr>
      </w:pPr>
      <w:r>
        <w:rPr>
          <w:color w:val="000000"/>
        </w:rPr>
        <w:t>2.4. Системные мероприятия по подготовке ежегодного доклада «Состояние и развитие конкурентной среды в Анжеро-Судженском городском округе»</w:t>
      </w:r>
      <w:r>
        <w:rPr>
          <w:color w:val="000000"/>
        </w:rPr>
      </w:r>
    </w:p>
    <w:p>
      <w:pPr>
        <w:ind w:firstLine="709"/>
        <w:spacing w:after="0" w:line="240" w:lineRule="auto"/>
        <w:jc w:val="both"/>
        <w:tabs defTabSz="708">
          <w:tab w:val="left" w:pos="13925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firstLine="709"/>
        <w:spacing w:after="0" w:line="240" w:lineRule="auto"/>
        <w:jc w:val="both"/>
        <w:tabs defTabSz="708">
          <w:tab w:val="left" w:pos="13925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Вся информация в области внедрения Стандарта развития конкуренции Анжеро-Судженского городского округа размещена на официальном сайте Муниципального образования – Анжеро-Судженский городской округ в информационно-телекоммуникационной сети «Интернет».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firstLine="709"/>
        <w:spacing w:after="0" w:line="240" w:lineRule="auto"/>
        <w:contextualSpacing/>
        <w:jc w:val="both"/>
        <w:tabs defTabSz="708">
          <w:tab w:val="left" w:pos="851" w:leader="none"/>
          <w:tab w:val="left" w:pos="1418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Ежегодно в срок до 1 февраля года, следующего за отчетным, проводятся системные мероприятия по подготовке ежегодного доклада о состоянии и развитии конкурентной среды на рынках товаров, работ и услуг Анжеро-Судженского городского округа.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Доклад о состоянии и развитии конкурентной среды на рынках товаров, работ и услуг Анжеро-Судженского городского округа ежегодно размещается на официальном сайте раздел экономика и финансы, вкладка «Внедрение стандарта развития конкуренции».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2024 году проведен мониторинг состояния и развития конкурентной среды на территории </w:t>
      </w:r>
      <w:r>
        <w:rPr>
          <w:rFonts w:ascii="Times New Roman" w:hAnsi="Times New Roman"/>
          <w:color w:val="000000"/>
          <w:sz w:val="28"/>
          <w:szCs w:val="28"/>
        </w:rPr>
        <w:t>Анжеро-Судженского городского округа.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Мониторинг проводился с января 2024 года по январь 2025 года путем интернет - опроса предпринимателей и потребителей товаров и услуг.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Ссылки на анкеты для проведения мониторинга были размещены на официальном сайте администрации </w:t>
      </w:r>
      <w:r>
        <w:rPr>
          <w:rFonts w:ascii="Times New Roman" w:hAnsi="Times New Roman"/>
          <w:color w:val="000000"/>
          <w:sz w:val="28"/>
          <w:szCs w:val="28"/>
        </w:rPr>
        <w:t>Анжеро-Судженского городского округа.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Основные направления мониторинга: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наличие (отсутствие) административных барьеров и оценка состояния конкурентной среды субъектами предпринимательской деятельности;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удовлетворенность потребителей качеством товаров, работ и услуг на товарных рынках и состоянием ценовой конкуренции;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удовлетворенность предпринимателей и потребителей качеством (уровнем доступности, понятности и удобства получения) официальной информацией о состоянии конкурентной среды;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оценка деятельности субъектов естественных монополий.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Кроме того, с целью повышения эффективности развития предпринимательской деятельности в Анжеро-Судженске проведен опрос среди субъектов малого и среднего предпринимательства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Мониторинг проводился с января 2025 года по февраль 2025 года путем </w:t>
      </w:r>
      <w:r>
        <w:rPr>
          <w:rFonts w:ascii="Times New Roman" w:hAnsi="Times New Roman" w:cs="Times New Roman"/>
          <w:sz w:val="28"/>
          <w:szCs w:val="28"/>
        </w:rPr>
        <w:t>заполнения анкеты.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Определили наиболее существенные административные барьеры: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tbl>
      <w:tblPr>
        <w:tblStyle w:val="TableGrid"/>
        <w:name w:val="Таблица1"/>
        <w:tabOrder w:val="0"/>
        <w:jc w:val="left"/>
        <w:tblInd w:w="108" w:type="dxa"/>
        <w:tblW w:w="9463" w:type="dxa"/>
        <w:pPr>
          <w:ind w:left="108"/>
        </w:pPr>
        <w:tblLook w:val="04A0" w:firstRow="1" w:lastRow="0" w:firstColumn="1" w:lastColumn="0" w:noHBand="0" w:noVBand="1"/>
      </w:tblPr>
      <w:tblGrid>
        <w:gridCol w:w="6521"/>
        <w:gridCol w:w="2942"/>
      </w:tblGrid>
      <w:tr>
        <w:trPr>
          <w:tblHeader w:val="0"/>
          <w:cantSplit w:val="0"/>
          <w:trHeight w:val="0" w:hRule="auto"/>
        </w:trPr>
        <w:tc>
          <w:tcPr>
            <w:tcW w:w="6521" w:type="dxa"/>
            <w:tmTcPr id="1741057659" protected="0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Сложность получения доступа к земельным участкам</w:t>
            </w:r>
          </w:p>
        </w:tc>
        <w:tc>
          <w:tcPr>
            <w:tcW w:w="2942" w:type="dxa"/>
            <w:tmTcPr id="1741057659" protected="0"/>
          </w:tcPr>
          <w:p>
            <w:pPr>
              <w: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12%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6521" w:type="dxa"/>
            <w:tmTcPr id="1741057659" protected="0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Нестабильность российского законодательства, регулирующего предпринимательскую деятельность</w:t>
            </w:r>
          </w:p>
        </w:tc>
        <w:tc>
          <w:tcPr>
            <w:tcW w:w="2942" w:type="dxa"/>
            <w:tmTcPr id="1741057659" protected="0"/>
          </w:tcPr>
          <w:p>
            <w:pPr>
              <w: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11%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6521" w:type="dxa"/>
            <w:tmTcPr id="1741057659" protected="0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Сложность/ затянутость процедуры получения лицензий</w:t>
            </w:r>
          </w:p>
        </w:tc>
        <w:tc>
          <w:tcPr>
            <w:tcW w:w="2942" w:type="dxa"/>
            <w:tmTcPr id="1741057659" protected="0"/>
          </w:tcPr>
          <w:p>
            <w:pPr>
              <w: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6521" w:type="dxa"/>
            <w:tmTcPr id="1741057659" protected="0"/>
          </w:tcPr>
          <w:p>
            <w:pPr>
              <w: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Высокие налоги</w:t>
            </w:r>
          </w:p>
        </w:tc>
        <w:tc>
          <w:tcPr>
            <w:tcW w:w="2942" w:type="dxa"/>
            <w:tmTcPr id="1741057659" protected="0"/>
          </w:tcPr>
          <w:p>
            <w:pPr>
              <w: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38%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6521" w:type="dxa"/>
            <w:tmTcPr id="1741057659" protected="0"/>
          </w:tcPr>
          <w:p>
            <w:pPr>
              <w: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 ограничений</w:t>
            </w:r>
          </w:p>
        </w:tc>
        <w:tc>
          <w:tcPr>
            <w:tcW w:w="2942" w:type="dxa"/>
            <w:tmTcPr id="1741057659" protected="0"/>
          </w:tcPr>
          <w:p>
            <w:pPr>
              <w: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29%</w:t>
            </w:r>
          </w:p>
        </w:tc>
      </w:tr>
    </w:tbl>
    <w:p>
      <w:pPr>
        <w:ind w:firstLine="709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Мониторинг состояния </w:t>
      </w:r>
      <w:r>
        <w:rPr>
          <w:rFonts w:ascii="Times New Roman" w:hAnsi="Times New Roman" w:cs="Times New Roman"/>
          <w:sz w:val="28"/>
          <w:szCs w:val="28"/>
        </w:rPr>
        <w:t xml:space="preserve">и развития предпринимательской деятельности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позволил выявить основные проблемы, с которыми сталкиваются предприниматели, с целью принятия управленческих решений и разработки рекомендаций по развитию конкуренции и формированию благоприятного предпринимательского климата в Анжеро-Судженском городском округе.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para1"/>
        <w:spacing w:before="0" w:after="0"/>
        <w:pageBreakBefore w:val="0"/>
        <w:keepNext w:val="0"/>
        <w:keepLines w:val="0"/>
        <w:widowControl w:val="0"/>
        <w:tabs defTabSz="708">
          <w:tab w:val="left" w:pos="-1191" w:leader="none"/>
          <w:tab w:val="left" w:pos="-283" w:leader="none"/>
          <w:tab w:val="left" w:pos="1247" w:leader="none"/>
        </w:tabs>
      </w:pPr>
      <w:r>
        <w:br w:type="page"/>
      </w:r>
      <w:r>
        <w:t>Приложение</w:t>
      </w:r>
    </w:p>
    <w:p>
      <w:pPr>
        <w:pStyle w:val="para12"/>
        <w:spacing w:before="0" w:after="0"/>
        <w:widowControl w:val="0"/>
      </w:pPr>
      <w:r>
        <w:t>Отчет о достижении целевых показателей по содействию развитию конкуренции на территории Анжеро-Судженского городского округа за 2024 год</w:t>
      </w:r>
    </w:p>
    <w:tbl>
      <w:tblPr>
        <w:tblStyle w:val="NormalTable"/>
        <w:name w:val="Таблица2"/>
        <w:tabOrder w:val="0"/>
        <w:jc w:val="left"/>
        <w:tblInd w:w="-2" w:type="dxa"/>
        <w:tblW w:w="9641" w:type="dxa"/>
        <w:pPr>
          <w:ind w:left="-2"/>
        </w:pPr>
        <w:tblLook w:val="0000" w:firstRow="0" w:lastRow="0" w:firstColumn="0" w:lastColumn="0" w:noHBand="0" w:noVBand="0"/>
      </w:tblPr>
      <w:tblGrid>
        <w:gridCol w:w="376"/>
        <w:gridCol w:w="2589"/>
        <w:gridCol w:w="1246"/>
        <w:gridCol w:w="3187"/>
        <w:gridCol w:w="1098"/>
        <w:gridCol w:w="1145"/>
      </w:tblGrid>
      <w:tr>
        <w:trPr>
          <w:tblHeader/>
          <w:cantSplit w:val="0"/>
          <w:trHeight w:val="353" w:hRule="atLeast"/>
        </w:trPr>
        <w:tc>
          <w:tcPr>
            <w:tcW w:w="3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ind w:left="-2"/>
              <w:spacing w:after="0" w:line="240" w:lineRule="auto"/>
              <w:jc w:val="center"/>
              <w:tabs defTabSz="39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58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jc w:val="center"/>
              <w:tabs defTabSz="39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 «дорожной карты»</w:t>
            </w:r>
          </w:p>
        </w:tc>
        <w:tc>
          <w:tcPr>
            <w:tcW w:w="124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jc w:val="center"/>
              <w:tabs defTabSz="39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реализации мероприятия</w:t>
            </w:r>
          </w:p>
        </w:tc>
        <w:tc>
          <w:tcPr>
            <w:tcW w:w="3187" w:type="dxa"/>
            <w:vMerge w:val="restart"/>
            <w:tcMar>
              <w:top w:w="102" w:type="dxa"/>
              <w:left w:w="166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jc w:val="center"/>
              <w:tabs defTabSz="39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24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jc w:val="center"/>
              <w:tabs defTabSz="39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Целевые значения показателя</w:t>
            </w:r>
          </w:p>
        </w:tc>
      </w:tr>
      <w:tr>
        <w:trPr>
          <w:tblHeader/>
          <w:cantSplit w:val="0"/>
          <w:trHeight w:val="261" w:hRule="atLeast"/>
        </w:trPr>
        <w:tc>
          <w:tcPr>
            <w:tcW w:w="3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/>
        </w:tc>
        <w:tc>
          <w:tcPr>
            <w:tcW w:w="258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/>
        </w:tc>
        <w:tc>
          <w:tcPr>
            <w:tcW w:w="124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/>
        </w:tc>
        <w:tc>
          <w:tcPr>
            <w:tcW w:w="3187" w:type="dxa"/>
            <w:vMerge/>
            <w:tcMar>
              <w:top w:w="102" w:type="dxa"/>
              <w:left w:w="166" w:type="dxa"/>
              <w:bottom w:w="102" w:type="dxa"/>
              <w:right w:w="62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/>
        </w:tc>
        <w:tc>
          <w:tcPr>
            <w:tcW w:w="109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jc w:val="center"/>
              <w:tabs defTabSz="39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114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jc w:val="center"/>
              <w:tabs defTabSz="39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</w:tr>
      <w:tr>
        <w:trPr>
          <w:tblHeader/>
          <w:cantSplit w:val="0"/>
          <w:trHeight w:val="28" w:hRule="atLeast"/>
        </w:trPr>
        <w:tc>
          <w:tcPr>
            <w:tcW w:w="96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 Рынок услуг связи, в том числе услуг по предоставлению широкополосного доступа к информационно-телекоммуникационной сети «Интернет»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tblHeader/>
          <w:cantSplit w:val="0"/>
          <w:trHeight w:val="82" w:hRule="atLeast"/>
        </w:trPr>
        <w:tc>
          <w:tcPr>
            <w:tcW w:w="376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8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pStyle w:val="par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развития услуг по предоставлению доступа в информационно-телекоммуникационную сеть «Интернет»</w:t>
            </w:r>
          </w:p>
        </w:tc>
        <w:tc>
          <w:tcPr>
            <w:tcW w:w="1246" w:type="dxa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3187" w:type="dxa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Доля организации частной формы собственности в сфере оказания услуг по предоставлению широкополосного доступа к информационно-телекоммуникационной сети «Интернет», процент</w:t>
            </w:r>
          </w:p>
        </w:tc>
        <w:tc>
          <w:tcPr>
            <w:tcW w:w="1098" w:type="dxa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45" w:type="dxa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>
        <w:trPr>
          <w:tblHeader/>
          <w:cantSplit w:val="0"/>
          <w:trHeight w:val="303" w:hRule="atLeast"/>
        </w:trPr>
        <w:tc>
          <w:tcPr>
            <w:tcW w:w="96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tblHeader/>
          <w:cantSplit w:val="0"/>
          <w:trHeight w:val="287" w:hRule="atLeast"/>
        </w:trPr>
        <w:tc>
          <w:tcPr>
            <w:tcW w:w="376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1.</w:t>
            </w:r>
          </w:p>
        </w:tc>
        <w:tc>
          <w:tcPr>
            <w:tcW w:w="258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Ведение и поддержание в актуальном состоянии реестра муниципальных маршрутов регулярных перевозок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46" w:type="dxa"/>
            <w:vMerge w:val="restart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3187" w:type="dxa"/>
            <w:vMerge w:val="restart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Доля организации частной формы собственности в сфере оказания услуг по перевозке пассажиров автомобильным транспортом по межмуниципальным маршрутам регулярных перевозок, процент</w:t>
            </w:r>
          </w:p>
        </w:tc>
        <w:tc>
          <w:tcPr>
            <w:tcW w:w="1098" w:type="dxa"/>
            <w:vMerge w:val="restart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45" w:type="dxa"/>
            <w:vMerge w:val="restart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>
        <w:trPr>
          <w:tblHeader/>
          <w:cantSplit w:val="0"/>
          <w:trHeight w:val="1062" w:hRule="atLeast"/>
        </w:trPr>
        <w:tc>
          <w:tcPr>
            <w:tcW w:w="376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58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tabs defTabSz="708">
                <w:tab w:val="center" w:pos="2310" w:leader="none"/>
              </w:tabs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highlight w:val="yellow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Мониторинг пассажиропотока и потребностей на территории Анжеро-Судженского городского округа в корректировке существующей маршрутной сети и организации новых маршрутов</w:t>
            </w:r>
            <w:r>
              <w:rPr>
                <w:rFonts w:ascii="Times New Roman" w:hAnsi="Times New Roman" w:eastAsia="Times New Roman" w:cs="Times New Roman"/>
                <w:highlight w:val="yellow"/>
                <w:sz w:val="20"/>
                <w:szCs w:val="20"/>
                <w:lang w:eastAsia="ru-ru"/>
              </w:rPr>
            </w:r>
          </w:p>
        </w:tc>
        <w:tc>
          <w:tcPr>
            <w:tcW w:w="1246" w:type="dxa"/>
            <w:vMerge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/>
        </w:tc>
        <w:tc>
          <w:tcPr>
            <w:tcW w:w="3187" w:type="dxa"/>
            <w:vMerge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/>
        </w:tc>
        <w:tc>
          <w:tcPr>
            <w:tcW w:w="1098" w:type="dxa"/>
            <w:vMerge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/>
        </w:tc>
        <w:tc>
          <w:tcPr>
            <w:tcW w:w="1145" w:type="dxa"/>
            <w:vMerge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/>
        </w:tc>
      </w:tr>
      <w:tr>
        <w:trPr>
          <w:tblHeader/>
          <w:cantSplit w:val="0"/>
          <w:trHeight w:val="1062" w:hRule="atLeast"/>
        </w:trPr>
        <w:tc>
          <w:tcPr>
            <w:tcW w:w="376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58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tabs defTabSz="708">
                <w:tab w:val="center" w:pos="2310" w:leader="none"/>
              </w:tabs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highlight w:val="yellow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Проведение открытых аукционов в электронной форме в рамках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с соблюдением установленных принципов открытости, прозрачности и создания равных условий для обеспечения конкуренции между участниками закупок </w:t>
            </w:r>
            <w:r>
              <w:rPr>
                <w:rFonts w:ascii="Times New Roman" w:hAnsi="Times New Roman" w:eastAsia="Times New Roman" w:cs="Times New Roman"/>
                <w:highlight w:val="yellow"/>
                <w:sz w:val="20"/>
                <w:szCs w:val="20"/>
                <w:lang w:eastAsia="ru-ru"/>
              </w:rPr>
            </w:r>
          </w:p>
        </w:tc>
        <w:tc>
          <w:tcPr>
            <w:tcW w:w="124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/>
        </w:tc>
        <w:tc>
          <w:tcPr>
            <w:tcW w:w="318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/>
        </w:tc>
        <w:tc>
          <w:tcPr>
            <w:tcW w:w="10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/>
        </w:tc>
        <w:tc>
          <w:tcPr>
            <w:tcW w:w="11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/>
        </w:tc>
      </w:tr>
      <w:tr>
        <w:trPr>
          <w:tblHeader/>
          <w:cantSplit w:val="0"/>
          <w:trHeight w:val="178" w:hRule="atLeast"/>
        </w:trPr>
        <w:tc>
          <w:tcPr>
            <w:tcW w:w="96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pStyle w:val="para2"/>
              <w:ind w:left="108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3. Рынок услуг детского отдыха и оздоровления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rPr>
          <w:tblHeader/>
          <w:cantSplit w:val="0"/>
          <w:trHeight w:val="1062" w:hRule="atLeast"/>
        </w:trPr>
        <w:tc>
          <w:tcPr>
            <w:tcW w:w="376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58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Мониторинг конкурсных отборов на предоставление субсидии из бюджета Кемеровской области – Кузбасса на укрепление материально-технической базы учреждений отдыха детей и их оздоровления на территории Анжеро-Судженского городского округа</w:t>
            </w:r>
          </w:p>
        </w:tc>
        <w:tc>
          <w:tcPr>
            <w:tcW w:w="1246" w:type="dxa"/>
            <w:vMerge w:val="restart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187" w:type="dxa"/>
            <w:vMerge w:val="restart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организации частной формы собственности в сфере детского отдыха и оздоровления, процент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 год - 100%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 - 100%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2025 год - 100%</w:t>
            </w:r>
          </w:p>
        </w:tc>
        <w:tc>
          <w:tcPr>
            <w:tcW w:w="1098" w:type="dxa"/>
            <w:vMerge w:val="restart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45" w:type="dxa"/>
            <w:vMerge w:val="restart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>
        <w:trPr>
          <w:tblHeader/>
          <w:cantSplit w:val="0"/>
          <w:trHeight w:val="1062" w:hRule="atLeast"/>
        </w:trPr>
        <w:tc>
          <w:tcPr>
            <w:tcW w:w="376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8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Мониторинг учреждений отдыха и оздоровления детей на территории Анжеро-Судженского городского округа и направление информации для включения в реестр организаций отдыха и оздоровления детей Кемеровской области</w:t>
            </w:r>
          </w:p>
        </w:tc>
        <w:tc>
          <w:tcPr>
            <w:tcW w:w="1246" w:type="dxa"/>
            <w:vMerge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/>
        </w:tc>
        <w:tc>
          <w:tcPr>
            <w:tcW w:w="3187" w:type="dxa"/>
            <w:vMerge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/>
        </w:tc>
        <w:tc>
          <w:tcPr>
            <w:tcW w:w="1145" w:type="dxa"/>
            <w:vMerge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/>
        </w:tc>
      </w:tr>
      <w:tr>
        <w:trPr>
          <w:tblHeader/>
          <w:cantSplit w:val="0"/>
          <w:trHeight w:val="1062" w:hRule="atLeast"/>
        </w:trPr>
        <w:tc>
          <w:tcPr>
            <w:tcW w:w="376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8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Оказание организационно-методической и информационно - консультативной помощи организациям отдыха детей и их оздоровления всех форм собственности, в том числе по вопросам государственной поддержки субъектов малого и среднего бизнеса</w:t>
            </w:r>
          </w:p>
        </w:tc>
        <w:tc>
          <w:tcPr>
            <w:tcW w:w="124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/>
        </w:tc>
        <w:tc>
          <w:tcPr>
            <w:tcW w:w="318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/>
        </w:tc>
        <w:tc>
          <w:tcPr>
            <w:tcW w:w="11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/>
        </w:tc>
      </w:tr>
      <w:tr>
        <w:trPr>
          <w:tblHeader/>
          <w:cantSplit w:val="0"/>
          <w:trHeight w:val="120" w:hRule="atLeast"/>
        </w:trPr>
        <w:tc>
          <w:tcPr>
            <w:tcW w:w="96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Рынок услуг дополнительного образования детей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rPr>
          <w:tblHeader/>
          <w:cantSplit w:val="0"/>
          <w:trHeight w:val="361" w:hRule="atLeast"/>
        </w:trPr>
        <w:tc>
          <w:tcPr>
            <w:tcW w:w="376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tabs defTabSz="708">
                <w:tab w:val="left" w:pos="1392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58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Создание общедоступного навигатора дополнительного образования детей Анжеро-Судженского городского округа</w:t>
            </w:r>
          </w:p>
        </w:tc>
        <w:tc>
          <w:tcPr>
            <w:tcW w:w="1246" w:type="dxa"/>
            <w:vMerge w:val="restart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187" w:type="dxa"/>
            <w:vMerge w:val="restart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организации частной формы собственности в сфере дополнительного образования детей, процент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 год - 100%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 - 100%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2025 год - 100%</w:t>
            </w:r>
          </w:p>
        </w:tc>
        <w:tc>
          <w:tcPr>
            <w:tcW w:w="1098" w:type="dxa"/>
            <w:vMerge w:val="restart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45" w:type="dxa"/>
            <w:vMerge w:val="restart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>
        <w:trPr>
          <w:tblHeader/>
          <w:cantSplit w:val="0"/>
          <w:trHeight w:val="57" w:hRule="atLeast"/>
        </w:trPr>
        <w:tc>
          <w:tcPr>
            <w:tcW w:w="376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tabs defTabSz="708">
                <w:tab w:val="left" w:pos="1392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8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Внедрение и распространение системы персонифицированного финансирования дополнительного образования детей</w:t>
            </w:r>
          </w:p>
        </w:tc>
        <w:tc>
          <w:tcPr>
            <w:tcW w:w="124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/>
        </w:tc>
        <w:tc>
          <w:tcPr>
            <w:tcW w:w="3187" w:type="dxa"/>
            <w:vMerge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  <w:vMerge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  <w:tr>
        <w:trPr>
          <w:tblHeader/>
          <w:cantSplit w:val="0"/>
          <w:trHeight w:val="1062" w:hRule="atLeast"/>
        </w:trPr>
        <w:tc>
          <w:tcPr>
            <w:tcW w:w="376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tabs defTabSz="708">
                <w:tab w:val="left" w:pos="1392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8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Оказание информационно-методической и консультативной помощи негосударственным организациям, осуществляющим образовательную деятельность по дополнительным общеобразовательным программам</w:t>
            </w:r>
          </w:p>
        </w:tc>
        <w:tc>
          <w:tcPr>
            <w:tcW w:w="124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/>
        </w:tc>
        <w:tc>
          <w:tcPr>
            <w:tcW w:w="3187" w:type="dxa"/>
            <w:vMerge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  <w:vMerge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  <w:tr>
        <w:trPr>
          <w:tblHeader/>
          <w:cantSplit w:val="0"/>
          <w:trHeight w:val="28" w:hRule="atLeast"/>
        </w:trPr>
        <w:tc>
          <w:tcPr>
            <w:tcW w:w="96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Рынок услуг общего образования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blHeader/>
          <w:cantSplit w:val="0"/>
          <w:trHeight w:val="1062" w:hRule="atLeast"/>
        </w:trPr>
        <w:tc>
          <w:tcPr>
            <w:tcW w:w="376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tabs defTabSz="708">
                <w:tab w:val="left" w:pos="1392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8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tabs defTabSz="708">
                <w:tab w:val="left" w:pos="1392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Мониторинг численности частных общеобразовательных организаций, расположенных в Анжеро-Судженском городском округе, и численности детей, посещающих данные организации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246" w:type="dxa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3187" w:type="dxa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pStyle w:val="para8"/>
              <w:spacing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организации частной формы собственности в сфере общего образования, процент</w:t>
            </w:r>
          </w:p>
        </w:tc>
        <w:tc>
          <w:tcPr>
            <w:tcW w:w="1098" w:type="dxa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45" w:type="dxa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100</w:t>
            </w:r>
          </w:p>
        </w:tc>
      </w:tr>
      <w:tr>
        <w:trPr>
          <w:tblHeader/>
          <w:cantSplit w:val="0"/>
          <w:trHeight w:val="186" w:hRule="atLeast"/>
        </w:trPr>
        <w:tc>
          <w:tcPr>
            <w:tcW w:w="96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jc w:val="center"/>
              <w:tabs defTabSz="708">
                <w:tab w:val="left" w:pos="13925" w:leader="none"/>
              </w:tabs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6. Рынок услуг среднего профессионального образования</w:t>
            </w:r>
          </w:p>
        </w:tc>
      </w:tr>
      <w:tr>
        <w:trPr>
          <w:tblHeader/>
          <w:cantSplit w:val="0"/>
          <w:trHeight w:val="1062" w:hRule="atLeast"/>
        </w:trPr>
        <w:tc>
          <w:tcPr>
            <w:tcW w:w="376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tabs defTabSz="708">
                <w:tab w:val="left" w:pos="13925" w:leader="none"/>
              </w:tabs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1. </w:t>
            </w:r>
          </w:p>
        </w:tc>
        <w:tc>
          <w:tcPr>
            <w:tcW w:w="258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Опубликование на официальном сайте Анжеро-Судженского городского округа информации о проведении конкурса по распределению контрольных цифр приема на обучение за счет бюджетных ассигнований областного бюджета между организациями, осуществляющими образовательную деятельность по образовательным программам среднего профессионального образования</w:t>
            </w:r>
          </w:p>
        </w:tc>
        <w:tc>
          <w:tcPr>
            <w:tcW w:w="1246" w:type="dxa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187" w:type="dxa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Доля организации частной формы собственности в сфере среднего профессионального образования, процент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 год - 100%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 - 100%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2025 год - 100%</w:t>
            </w:r>
          </w:p>
        </w:tc>
        <w:tc>
          <w:tcPr>
            <w:tcW w:w="1098" w:type="dxa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45" w:type="dxa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>
        <w:trPr>
          <w:tblHeader/>
          <w:cantSplit w:val="0"/>
          <w:trHeight w:val="28" w:hRule="atLeast"/>
        </w:trPr>
        <w:tc>
          <w:tcPr>
            <w:tcW w:w="96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Рынок услуг дошкольного образования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rPr>
          <w:tblHeader/>
          <w:cantSplit w:val="0"/>
          <w:trHeight w:val="1062" w:hRule="atLeast"/>
        </w:trPr>
        <w:tc>
          <w:tcPr>
            <w:tcW w:w="376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tabs defTabSz="708">
                <w:tab w:val="left" w:pos="1392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58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tabs defTabSz="708">
                <w:tab w:val="left" w:pos="1392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субвенции на финансовое обеспечение получения дошкольного образования в частных дошкольных образовательных организациях, имеющих лицензию на право осуществления образовательной деятельности на территории Анжеро-Судженского городского округа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1246" w:type="dxa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187" w:type="dxa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Доля организации частной формы собственности в сфере дошкольного образования, процент</w:t>
            </w:r>
          </w:p>
        </w:tc>
        <w:tc>
          <w:tcPr>
            <w:tcW w:w="1098" w:type="dxa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45" w:type="dxa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>
        <w:trPr>
          <w:tblHeader/>
          <w:cantSplit w:val="0"/>
          <w:trHeight w:val="28" w:hRule="atLeast"/>
        </w:trPr>
        <w:tc>
          <w:tcPr>
            <w:tcW w:w="96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Рынок медицинских услуг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tblHeader/>
          <w:cantSplit w:val="0"/>
          <w:trHeight w:val="1062" w:hRule="atLeast"/>
        </w:trPr>
        <w:tc>
          <w:tcPr>
            <w:tcW w:w="376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jc w:val="both"/>
              <w:tabs defTabSz="708">
                <w:tab w:val="left" w:pos="1392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8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tabs defTabSz="708">
                <w:tab w:val="left" w:pos="1392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Мониторинг реестра медицинских организаций, находящихся на территории Анжеро-Судженского городского округа, участвующих в реализации территориальной программы обязательного медицинского страхования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246" w:type="dxa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3187" w:type="dxa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Информация о медицинских услугах, оказываемых ГАУЗ АСГБ в рамках программы ОМС, размещенная в сети Интернет, процент</w:t>
            </w:r>
          </w:p>
          <w:p>
            <w:pPr>
              <w:spacing w:after="0" w:line="240" w:lineRule="auto"/>
              <w:tabs defTabSz="708">
                <w:tab w:val="left" w:pos="1392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098" w:type="dxa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45" w:type="dxa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>
        <w:trPr>
          <w:tblHeader/>
          <w:cantSplit w:val="0"/>
          <w:trHeight w:val="264" w:hRule="atLeast"/>
        </w:trPr>
        <w:tc>
          <w:tcPr>
            <w:tcW w:w="96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Рынок ритуальных услуг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tblHeader/>
          <w:cantSplit w:val="0"/>
          <w:trHeight w:val="1062" w:hRule="atLeast"/>
        </w:trPr>
        <w:tc>
          <w:tcPr>
            <w:tcW w:w="376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jc w:val="both"/>
              <w:tabs defTabSz="708">
                <w:tab w:val="left" w:pos="1392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8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Мониторинг и анализ ситуации в сфере оказания ритуальных услуг на территории Анжеро-Судженского городского округа</w:t>
            </w:r>
          </w:p>
        </w:tc>
        <w:tc>
          <w:tcPr>
            <w:tcW w:w="1246" w:type="dxa"/>
            <w:vMerge w:val="restart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3187" w:type="dxa"/>
            <w:vMerge w:val="restart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Доля организации частной формы собственности в сфере оказания ритуальных услуг, процент</w:t>
            </w:r>
          </w:p>
        </w:tc>
        <w:tc>
          <w:tcPr>
            <w:tcW w:w="1098" w:type="dxa"/>
            <w:vMerge w:val="restart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45" w:type="dxa"/>
            <w:vMerge w:val="restart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>
        <w:trPr>
          <w:tblHeader/>
          <w:cantSplit w:val="0"/>
          <w:trHeight w:val="1062" w:hRule="atLeast"/>
        </w:trPr>
        <w:tc>
          <w:tcPr>
            <w:tcW w:w="376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jc w:val="both"/>
              <w:tabs defTabSz="708">
                <w:tab w:val="left" w:pos="1392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58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Осуществление сбора и обобщения информации об организациях всех форм собственности, осуществляющих деятельность на рынке ритуальных услуг (за исключением деятельности по содержанию и благоустройству кладбищ) на территории Анжеро-Судженского городского округа</w:t>
            </w:r>
          </w:p>
        </w:tc>
        <w:tc>
          <w:tcPr>
            <w:tcW w:w="1246" w:type="dxa"/>
            <w:vMerge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/>
        </w:tc>
        <w:tc>
          <w:tcPr>
            <w:tcW w:w="318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/>
        </w:tc>
        <w:tc>
          <w:tcPr>
            <w:tcW w:w="1098" w:type="dxa"/>
            <w:vMerge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/>
        </w:tc>
        <w:tc>
          <w:tcPr>
            <w:tcW w:w="1145" w:type="dxa"/>
            <w:vMerge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/>
        </w:tc>
      </w:tr>
      <w:tr>
        <w:trPr>
          <w:tblHeader/>
          <w:cantSplit w:val="0"/>
          <w:trHeight w:val="28" w:hRule="atLeast"/>
        </w:trPr>
        <w:tc>
          <w:tcPr>
            <w:tcW w:w="96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 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Рынок теплоснабжения (производство тепловой энергии)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tblHeader/>
          <w:cantSplit w:val="0"/>
          <w:trHeight w:val="1062" w:hRule="atLeast"/>
        </w:trPr>
        <w:tc>
          <w:tcPr>
            <w:tcW w:w="376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jc w:val="both"/>
              <w:tabs defTabSz="708">
                <w:tab w:val="left" w:pos="1392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8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tabs defTabSz="708">
                <w:tab w:val="center" w:pos="2310" w:leader="none"/>
              </w:tabs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Оформление правоустанавливающих документов на объекты теплоснабжения, постановка их на кадастровый учет. Организация передачи указанных объектов в управление организациям частной формы собственности на основе концессионного соглашения или договора аренды. Передача муниципальных объектов теплоснабжения в собственность организациям частной формы собственности при условии установления инвестиционных и эксплуатационных обязательств.</w:t>
            </w:r>
          </w:p>
        </w:tc>
        <w:tc>
          <w:tcPr>
            <w:tcW w:w="1246" w:type="dxa"/>
            <w:vMerge w:val="restart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3187" w:type="dxa"/>
            <w:vMerge w:val="restart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Доля организации частной формы собственности в сфере оказания услуг по теплоснабжению (производство тепловой энергии, процент</w:t>
            </w:r>
          </w:p>
        </w:tc>
        <w:tc>
          <w:tcPr>
            <w:tcW w:w="1098" w:type="dxa"/>
            <w:vMerge w:val="restart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45" w:type="dxa"/>
            <w:vMerge w:val="restart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>
        <w:trPr>
          <w:tblHeader/>
          <w:cantSplit w:val="0"/>
          <w:trHeight w:val="1062" w:hRule="atLeast"/>
        </w:trPr>
        <w:tc>
          <w:tcPr>
            <w:tcW w:w="376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jc w:val="both"/>
              <w:tabs defTabSz="708">
                <w:tab w:val="left" w:pos="1392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58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tabs defTabSz="708">
                <w:tab w:val="center" w:pos="2310" w:leader="none"/>
              </w:tabs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Актуализация схем теплоснабжения Анжеро-Судженского городского округа</w:t>
            </w:r>
          </w:p>
        </w:tc>
        <w:tc>
          <w:tcPr>
            <w:tcW w:w="1246" w:type="dxa"/>
            <w:vMerge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/>
        </w:tc>
        <w:tc>
          <w:tcPr>
            <w:tcW w:w="318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/>
        </w:tc>
        <w:tc>
          <w:tcPr>
            <w:tcW w:w="1098" w:type="dxa"/>
            <w:vMerge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/>
        </w:tc>
        <w:tc>
          <w:tcPr>
            <w:tcW w:w="1145" w:type="dxa"/>
            <w:vMerge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/>
        </w:tc>
      </w:tr>
      <w:tr>
        <w:trPr>
          <w:tblHeader/>
          <w:cantSplit w:val="0"/>
          <w:trHeight w:val="28" w:hRule="atLeast"/>
        </w:trPr>
        <w:tc>
          <w:tcPr>
            <w:tcW w:w="96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10. 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Рынок поставки сжиженного газа в баллонах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tblHeader/>
          <w:cantSplit w:val="0"/>
          <w:trHeight w:val="1062" w:hRule="atLeast"/>
        </w:trPr>
        <w:tc>
          <w:tcPr>
            <w:tcW w:w="376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jc w:val="both"/>
              <w:tabs defTabSz="708">
                <w:tab w:val="left" w:pos="1392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8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Размещение информации на сайте Анжеро-Судженского городского округа о розничных ценах на сжиженный газ в баллонах, реализуемый населению для бытовых нужд.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246" w:type="dxa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3187" w:type="dxa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Доля организации частной формы собственности в сфере оказания услуг по поставке сжиженного газа в баллонах, процент</w:t>
            </w:r>
          </w:p>
        </w:tc>
        <w:tc>
          <w:tcPr>
            <w:tcW w:w="1098" w:type="dxa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45" w:type="dxa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>
        <w:trPr>
          <w:tblHeader/>
          <w:cantSplit w:val="0"/>
          <w:trHeight w:val="28" w:hRule="atLeast"/>
        </w:trPr>
        <w:tc>
          <w:tcPr>
            <w:tcW w:w="96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11. 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Рынок выполнения работ по благоустройству городской среды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tblHeader/>
          <w:cantSplit w:val="0"/>
          <w:trHeight w:val="1062" w:hRule="atLeast"/>
        </w:trPr>
        <w:tc>
          <w:tcPr>
            <w:tcW w:w="376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jc w:val="both"/>
              <w:tabs defTabSz="708">
                <w:tab w:val="left" w:pos="1392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8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highlight w:val="yellow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Подготовка информационной базы об организациях, осуществляющих деятельность на рынке благоустройства городской среды, включая информацию о наличии хозяйствующих субъектов с государственным или муниципальным участием, находящихся на данном рынке.</w:t>
            </w:r>
            <w:r>
              <w:rPr>
                <w:rFonts w:ascii="Times New Roman" w:hAnsi="Times New Roman" w:eastAsia="Times New Roman" w:cs="Times New Roman"/>
                <w:highlight w:val="yellow"/>
                <w:sz w:val="20"/>
                <w:szCs w:val="20"/>
                <w:lang w:eastAsia="ru-ru"/>
              </w:rPr>
            </w:r>
          </w:p>
        </w:tc>
        <w:tc>
          <w:tcPr>
            <w:tcW w:w="1246" w:type="dxa"/>
            <w:vMerge w:val="restart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3187" w:type="dxa"/>
            <w:vMerge w:val="restart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Доля организации частной формы собственности в сфере оказания услуг по благоустройству городской среды, процент</w:t>
            </w:r>
          </w:p>
        </w:tc>
        <w:tc>
          <w:tcPr>
            <w:tcW w:w="1098" w:type="dxa"/>
            <w:vMerge w:val="restart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45" w:type="dxa"/>
            <w:vMerge w:val="restart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>
        <w:trPr>
          <w:tblHeader/>
          <w:cantSplit w:val="0"/>
          <w:trHeight w:val="1062" w:hRule="atLeast"/>
        </w:trPr>
        <w:tc>
          <w:tcPr>
            <w:tcW w:w="376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jc w:val="both"/>
              <w:tabs defTabSz="708">
                <w:tab w:val="left" w:pos="1392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8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highlight w:val="yellow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Разделение закупаемых работ (услуг) на рынке выполнения работ по благоустройству городской среды на большее количество лотов с уменьшением объема работ при условии сохранения экономической целесообразности такого уменьшения. </w:t>
            </w:r>
            <w:r>
              <w:rPr>
                <w:rFonts w:ascii="Times New Roman" w:hAnsi="Times New Roman" w:eastAsia="Times New Roman" w:cs="Times New Roman"/>
                <w:highlight w:val="yellow"/>
                <w:sz w:val="20"/>
                <w:szCs w:val="20"/>
                <w:lang w:eastAsia="ru-ru"/>
              </w:rPr>
            </w:r>
          </w:p>
        </w:tc>
        <w:tc>
          <w:tcPr>
            <w:tcW w:w="1246" w:type="dxa"/>
            <w:vMerge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/>
        </w:tc>
        <w:tc>
          <w:tcPr>
            <w:tcW w:w="318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/>
        </w:tc>
        <w:tc>
          <w:tcPr>
            <w:tcW w:w="1098" w:type="dxa"/>
            <w:vMerge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/>
        </w:tc>
        <w:tc>
          <w:tcPr>
            <w:tcW w:w="1145" w:type="dxa"/>
            <w:vMerge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/>
        </w:tc>
      </w:tr>
      <w:tr>
        <w:trPr>
          <w:tblHeader/>
          <w:cantSplit w:val="0"/>
          <w:trHeight w:val="1062" w:hRule="atLeast"/>
        </w:trPr>
        <w:tc>
          <w:tcPr>
            <w:tcW w:w="376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jc w:val="both"/>
              <w:tabs defTabSz="708">
                <w:tab w:val="left" w:pos="1392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8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highlight w:val="yellow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Информационная поддержка в средствах массовой информации для привлечения к торгам большего числа участников</w:t>
            </w:r>
            <w:r>
              <w:rPr>
                <w:rFonts w:ascii="Times New Roman" w:hAnsi="Times New Roman" w:eastAsia="Times New Roman" w:cs="Times New Roman"/>
                <w:highlight w:val="yellow"/>
                <w:sz w:val="20"/>
                <w:szCs w:val="20"/>
                <w:lang w:eastAsia="ru-ru"/>
              </w:rPr>
            </w:r>
          </w:p>
        </w:tc>
        <w:tc>
          <w:tcPr>
            <w:tcW w:w="1246" w:type="dxa"/>
            <w:vMerge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/>
        </w:tc>
        <w:tc>
          <w:tcPr>
            <w:tcW w:w="318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/>
        </w:tc>
        <w:tc>
          <w:tcPr>
            <w:tcW w:w="1098" w:type="dxa"/>
            <w:vMerge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/>
        </w:tc>
        <w:tc>
          <w:tcPr>
            <w:tcW w:w="1145" w:type="dxa"/>
            <w:vMerge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/>
        </w:tc>
      </w:tr>
      <w:tr>
        <w:trPr>
          <w:tblHeader/>
          <w:cantSplit w:val="0"/>
          <w:trHeight w:val="28" w:hRule="atLeast"/>
        </w:trPr>
        <w:tc>
          <w:tcPr>
            <w:tcW w:w="96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12. 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Рынок выполнения работ по содержанию и текущему ремонту общего имущества собственников помещений в многоквартирном доме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tblHeader/>
          <w:cantSplit w:val="0"/>
          <w:trHeight w:val="1062" w:hRule="atLeast"/>
        </w:trPr>
        <w:tc>
          <w:tcPr>
            <w:tcW w:w="376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8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highlight w:val="yellow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Снижение количества нарушений антимонопольного законодательства при проведении конкурсов по отбору управляющей организации, предусмотренных Жилищным кодексом Российской Федерации и Правилами проведения органом местного самоуправления открытого конкурса по отбору управляющей организации для управления многоквартирным домом, утвержденными постановлением Правительства Российской Федерации 06.02.2006 № 75.</w:t>
            </w:r>
            <w:r>
              <w:rPr>
                <w:rFonts w:ascii="Times New Roman" w:hAnsi="Times New Roman" w:eastAsia="Times New Roman" w:cs="Times New Roman"/>
                <w:highlight w:val="yellow"/>
                <w:sz w:val="20"/>
                <w:szCs w:val="20"/>
                <w:lang w:eastAsia="ru-ru"/>
              </w:rPr>
            </w:r>
          </w:p>
        </w:tc>
        <w:tc>
          <w:tcPr>
            <w:tcW w:w="1246" w:type="dxa"/>
            <w:vMerge w:val="restart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3187" w:type="dxa"/>
            <w:vMerge w:val="restart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Доля организации частной формы собственности в сфере оказания услуг по содержанию и текущему ремонту общего имущества собственников помещений в многоквартирном доме, процент</w:t>
            </w:r>
          </w:p>
        </w:tc>
        <w:tc>
          <w:tcPr>
            <w:tcW w:w="1098" w:type="dxa"/>
            <w:vMerge w:val="restart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90,9</w:t>
            </w:r>
          </w:p>
        </w:tc>
        <w:tc>
          <w:tcPr>
            <w:tcW w:w="1145" w:type="dxa"/>
            <w:vMerge w:val="restart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90,9</w:t>
            </w:r>
          </w:p>
        </w:tc>
      </w:tr>
      <w:tr>
        <w:trPr>
          <w:tblHeader/>
          <w:cantSplit w:val="0"/>
          <w:trHeight w:val="1062" w:hRule="atLeast"/>
        </w:trPr>
        <w:tc>
          <w:tcPr>
            <w:tcW w:w="376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8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Введение рейтингования деятельности организаций, оказывающих услуги по управлению многоквартирным домом на территории Анжеро-Судженского городского округа</w:t>
            </w:r>
          </w:p>
        </w:tc>
        <w:tc>
          <w:tcPr>
            <w:tcW w:w="1246" w:type="dxa"/>
            <w:vMerge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/>
        </w:tc>
        <w:tc>
          <w:tcPr>
            <w:tcW w:w="3187" w:type="dxa"/>
            <w:vMerge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/>
        </w:tc>
        <w:tc>
          <w:tcPr>
            <w:tcW w:w="1098" w:type="dxa"/>
            <w:vMerge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/>
        </w:tc>
        <w:tc>
          <w:tcPr>
            <w:tcW w:w="1145" w:type="dxa"/>
            <w:vMerge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/>
        </w:tc>
      </w:tr>
      <w:tr>
        <w:trPr>
          <w:tblHeader/>
          <w:cantSplit w:val="0"/>
          <w:trHeight w:val="28" w:hRule="atLeast"/>
        </w:trPr>
        <w:tc>
          <w:tcPr>
            <w:tcW w:w="9640" w:type="dxa"/>
            <w:gridSpan w:val="6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13. 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Рынок кадастровых и землеустроительных работ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tblHeader/>
          <w:cantSplit w:val="0"/>
          <w:trHeight w:val="1062" w:hRule="atLeast"/>
        </w:trPr>
        <w:tc>
          <w:tcPr>
            <w:tcW w:w="376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8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Организация и проведение публичных торгов или иных конкурентных процедур отбора исполнителей кадастровых и землеустроительных работ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246" w:type="dxa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3187" w:type="dxa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Доля организации частной формы собственности в сфере оказания услуг по кадастровым и землеустроительных работам, процент</w:t>
            </w:r>
          </w:p>
        </w:tc>
        <w:tc>
          <w:tcPr>
            <w:tcW w:w="1098" w:type="dxa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45" w:type="dxa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>
        <w:trPr>
          <w:tblHeader/>
          <w:cantSplit w:val="0"/>
          <w:trHeight w:val="28" w:hRule="atLeast"/>
        </w:trPr>
        <w:tc>
          <w:tcPr>
            <w:tcW w:w="96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14. 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Рынок легкой промышленности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tblHeader/>
          <w:cantSplit w:val="0"/>
          <w:trHeight w:val="1062" w:hRule="atLeast"/>
        </w:trPr>
        <w:tc>
          <w:tcPr>
            <w:tcW w:w="376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8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pStyle w:val="para8"/>
              <w:spacing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Содействие в участии представителей предприятий сферы легкой промышленности в выставках и ярмарках регионального значения. </w:t>
            </w:r>
          </w:p>
        </w:tc>
        <w:tc>
          <w:tcPr>
            <w:tcW w:w="1246" w:type="dxa"/>
            <w:vMerge w:val="restart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3187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pStyle w:val="para8"/>
              <w:spacing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участия местных товаропроизводителей в областных акциях «Первое сентября – каждому школьнику» и школьных базарах, процент </w:t>
            </w:r>
          </w:p>
        </w:tc>
        <w:tc>
          <w:tcPr>
            <w:tcW w:w="1098" w:type="dxa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45" w:type="dxa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>
        <w:trPr>
          <w:tblHeader/>
          <w:cantSplit w:val="0"/>
          <w:trHeight w:val="1062" w:hRule="atLeast"/>
        </w:trPr>
        <w:tc>
          <w:tcPr>
            <w:tcW w:w="376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8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pStyle w:val="para8"/>
              <w:spacing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Оказание содействия субъектам деятельности в сфере легкой промышленности в развитии кооперационных связей, увеличении объемов сбыта продукции и повышении технологического уровня</w:t>
            </w:r>
          </w:p>
        </w:tc>
        <w:tc>
          <w:tcPr>
            <w:tcW w:w="1246" w:type="dxa"/>
            <w:vMerge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/>
        </w:tc>
        <w:tc>
          <w:tcPr>
            <w:tcW w:w="3187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Доля организаций частной формы собственности на рынке легкой промышленности в общем количестве организаций, осуществляющих деятельность на данном рынке, процент</w:t>
            </w:r>
          </w:p>
        </w:tc>
        <w:tc>
          <w:tcPr>
            <w:tcW w:w="1098" w:type="dxa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45" w:type="dxa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>
        <w:trPr>
          <w:tblHeader/>
          <w:cantSplit w:val="0"/>
          <w:trHeight w:val="28" w:hRule="atLeast"/>
        </w:trPr>
        <w:tc>
          <w:tcPr>
            <w:tcW w:w="96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15. 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Рынок туристических услуг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tblHeader/>
          <w:cantSplit w:val="0"/>
          <w:trHeight w:val="1062" w:hRule="atLeast"/>
        </w:trPr>
        <w:tc>
          <w:tcPr>
            <w:tcW w:w="376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8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рекламно-информационных туров для представителей туристского бизнеса и средств массовой информации</w:t>
            </w:r>
          </w:p>
        </w:tc>
        <w:tc>
          <w:tcPr>
            <w:tcW w:w="1246" w:type="dxa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3187" w:type="dxa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Проведение событийных и обменных мероприятий в сфере культуры и искусства, кол-во</w:t>
            </w:r>
          </w:p>
        </w:tc>
        <w:tc>
          <w:tcPr>
            <w:tcW w:w="1098" w:type="dxa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45" w:type="dxa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>
        <w:trPr>
          <w:tblHeader/>
          <w:cantSplit w:val="0"/>
          <w:trHeight w:val="28" w:hRule="atLeast"/>
        </w:trPr>
        <w:tc>
          <w:tcPr>
            <w:tcW w:w="96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16. 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Сфера наружной рекламы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tblHeader/>
          <w:cantSplit w:val="0"/>
          <w:trHeight w:val="1062" w:hRule="atLeast"/>
        </w:trPr>
        <w:tc>
          <w:tcPr>
            <w:tcW w:w="376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8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Выявление незаконных рекламных конструкций, выдача предписаний и организация работ по демонтажу на территории Анжеро-Судженского городского округа</w:t>
            </w:r>
          </w:p>
        </w:tc>
        <w:tc>
          <w:tcPr>
            <w:tcW w:w="1246" w:type="dxa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3187" w:type="dxa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Доля организаций частной формы собственности в сфере предоставления услуг наружной рекламы, процент</w:t>
            </w:r>
          </w:p>
        </w:tc>
        <w:tc>
          <w:tcPr>
            <w:tcW w:w="1098" w:type="dxa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45" w:type="dxa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>
        <w:trPr>
          <w:tblHeader/>
          <w:cantSplit w:val="0"/>
          <w:trHeight w:val="28" w:hRule="atLeast"/>
        </w:trPr>
        <w:tc>
          <w:tcPr>
            <w:tcW w:w="96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17. 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Рынок социальных услуг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tblHeader/>
          <w:cantSplit w:val="0"/>
          <w:trHeight w:val="1124" w:hRule="atLeast"/>
        </w:trPr>
        <w:tc>
          <w:tcPr>
            <w:tcW w:w="376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8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pStyle w:val="para8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Привлечение к предоставлению социальных услуг частных организаций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1246" w:type="dxa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3187" w:type="dxa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Доля негосударственных организаций социального обслуживания, предоставляющих социальные услуги</w:t>
            </w:r>
          </w:p>
        </w:tc>
        <w:tc>
          <w:tcPr>
            <w:tcW w:w="1098" w:type="dxa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45" w:type="dxa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10576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</w:tbl>
    <w:p>
      <w:pPr>
        <w:spacing w:after="0"/>
      </w:pPr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6838" w:w="11906"/>
      <w:pgMar w:left="1701" w:top="1134" w:right="567" w:bottom="1134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ic Roman">
    <w:charset w:val="00"/>
    <w:family w:val="roman"/>
    <w:pitch w:val="default"/>
  </w:font>
  <w:font w:name="Times New Roman">
    <w:charset w:val="00"/>
    <w:family w:val="roman"/>
    <w:pitch w:val="default"/>
  </w:font>
  <w:font w:name="Calibri">
    <w:charset w:val="00"/>
    <w:family w:val="swiss"/>
    <w:pitch w:val="default"/>
  </w:font>
  <w:font w:name="Cambria">
    <w:charset w:val="00"/>
    <w:family w:val="roman"/>
    <w:pitch w:val="default"/>
  </w:font>
  <w:font w:name="Tahoma">
    <w:charset w:val="00"/>
    <w:family w:val="swiss"/>
    <w:pitch w:val="default"/>
  </w:font>
  <w:font w:name="SimSun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Нумерованный список 4"/>
    <w:lvl w:ilvl="0">
      <w:start w:val="1"/>
      <w:numFmt w:val="decimal"/>
      <w:suff w:val="tab"/>
      <w:lvlText w:val="%1."/>
      <w:lvlJc w:val="left"/>
      <w:pPr>
        <w:ind w:left="820" w:hanging="0"/>
      </w:pPr>
    </w:lvl>
    <w:lvl w:ilvl="1">
      <w:start w:val="1"/>
      <w:numFmt w:val="lowerLetter"/>
      <w:suff w:val="tab"/>
      <w:lvlText w:val="%2."/>
      <w:lvlJc w:val="left"/>
      <w:pPr>
        <w:ind w:left="1540" w:hanging="0"/>
      </w:pPr>
    </w:lvl>
    <w:lvl w:ilvl="2">
      <w:start w:val="1"/>
      <w:numFmt w:val="lowerRoman"/>
      <w:suff w:val="tab"/>
      <w:lvlText w:val="%3."/>
      <w:lvlJc w:val="left"/>
      <w:pPr>
        <w:ind w:left="2440" w:hanging="0"/>
      </w:pPr>
    </w:lvl>
    <w:lvl w:ilvl="3">
      <w:start w:val="1"/>
      <w:numFmt w:val="decimal"/>
      <w:suff w:val="tab"/>
      <w:lvlText w:val="%4."/>
      <w:lvlJc w:val="left"/>
      <w:pPr>
        <w:ind w:left="2980" w:hanging="0"/>
      </w:pPr>
    </w:lvl>
    <w:lvl w:ilvl="4">
      <w:start w:val="1"/>
      <w:numFmt w:val="lowerLetter"/>
      <w:suff w:val="tab"/>
      <w:lvlText w:val="%5."/>
      <w:lvlJc w:val="left"/>
      <w:pPr>
        <w:ind w:left="3700" w:hanging="0"/>
      </w:pPr>
    </w:lvl>
    <w:lvl w:ilvl="5">
      <w:start w:val="1"/>
      <w:numFmt w:val="lowerRoman"/>
      <w:suff w:val="tab"/>
      <w:lvlText w:val="%6."/>
      <w:lvlJc w:val="left"/>
      <w:pPr>
        <w:ind w:left="4600" w:hanging="0"/>
      </w:pPr>
    </w:lvl>
    <w:lvl w:ilvl="6">
      <w:start w:val="1"/>
      <w:numFmt w:val="decimal"/>
      <w:suff w:val="tab"/>
      <w:lvlText w:val="%7."/>
      <w:lvlJc w:val="left"/>
      <w:pPr>
        <w:ind w:left="5140" w:hanging="0"/>
      </w:pPr>
    </w:lvl>
    <w:lvl w:ilvl="7">
      <w:start w:val="1"/>
      <w:numFmt w:val="lowerLetter"/>
      <w:suff w:val="tab"/>
      <w:lvlText w:val="%8."/>
      <w:lvlJc w:val="left"/>
      <w:pPr>
        <w:ind w:left="5860" w:hanging="0"/>
      </w:pPr>
    </w:lvl>
    <w:lvl w:ilvl="8">
      <w:start w:val="1"/>
      <w:numFmt w:val="lowerRoman"/>
      <w:suff w:val="tab"/>
      <w:lvlText w:val="%9."/>
      <w:lvlJc w:val="left"/>
      <w:pPr>
        <w:ind w:left="6760" w:hanging="0"/>
      </w:pPr>
    </w:lvl>
  </w:abstractNum>
  <w:abstractNum w:abstractNumId="2">
    <w:multiLevelType w:val="hybridMultilevel"/>
    <w:name w:val="Нумерованный список 8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3">
    <w:multiLevelType w:val="hybridMultilevel"/>
    <w:name w:val="Нумерованный список 2"/>
    <w:lvl w:ilvl="0">
      <w:start w:val="1"/>
      <w:numFmt w:val="decimal"/>
      <w:suff w:val="tab"/>
      <w:lvlText w:val="%1."/>
      <w:lvlJc w:val="left"/>
      <w:pPr>
        <w:ind w:left="0" w:hanging="0"/>
      </w:pPr>
    </w:lvl>
    <w:lvl w:ilvl="1">
      <w:start w:val="1"/>
      <w:numFmt w:val="decimal"/>
      <w:suff w:val="tab"/>
      <w:lvlText w:val="%1.%2."/>
      <w:lvlJc w:val="left"/>
      <w:pPr>
        <w:ind w:left="709" w:hanging="0"/>
      </w:pPr>
    </w:lvl>
    <w:lvl w:ilvl="2">
      <w:start w:val="1"/>
      <w:numFmt w:val="decimal"/>
      <w:suff w:val="tab"/>
      <w:lvlText w:val="%1.%2.%3."/>
      <w:lvlJc w:val="left"/>
      <w:pPr>
        <w:ind w:left="1418" w:hanging="0"/>
      </w:pPr>
    </w:lvl>
    <w:lvl w:ilvl="3">
      <w:start w:val="1"/>
      <w:numFmt w:val="decimal"/>
      <w:suff w:val="tab"/>
      <w:lvlText w:val="%1.%2.%3.%4."/>
      <w:lvlJc w:val="left"/>
      <w:pPr>
        <w:ind w:left="2127" w:hanging="0"/>
      </w:pPr>
    </w:lvl>
    <w:lvl w:ilvl="4">
      <w:start w:val="1"/>
      <w:numFmt w:val="decimal"/>
      <w:suff w:val="tab"/>
      <w:lvlText w:val="%1.%2.%3.%4.%5."/>
      <w:lvlJc w:val="left"/>
      <w:pPr>
        <w:ind w:left="2836" w:hanging="0"/>
      </w:pPr>
    </w:lvl>
    <w:lvl w:ilvl="5">
      <w:start w:val="1"/>
      <w:numFmt w:val="decimal"/>
      <w:suff w:val="tab"/>
      <w:lvlText w:val="%1.%2.%3.%4.%5.%6."/>
      <w:lvlJc w:val="left"/>
      <w:pPr>
        <w:ind w:left="3545" w:hanging="0"/>
      </w:pPr>
    </w:lvl>
    <w:lvl w:ilvl="6">
      <w:start w:val="1"/>
      <w:numFmt w:val="decimal"/>
      <w:suff w:val="tab"/>
      <w:lvlText w:val="%1.%2.%3.%4.%5.%6.%7."/>
      <w:lvlJc w:val="left"/>
      <w:pPr>
        <w:ind w:left="4254" w:hanging="0"/>
      </w:pPr>
    </w:lvl>
    <w:lvl w:ilvl="7">
      <w:start w:val="1"/>
      <w:numFmt w:val="decimal"/>
      <w:suff w:val="tab"/>
      <w:lvlText w:val="%1.%2.%3.%4.%5.%6.%7.%8."/>
      <w:lvlJc w:val="left"/>
      <w:pPr>
        <w:ind w:left="4963" w:hanging="0"/>
      </w:pPr>
    </w:lvl>
    <w:lvl w:ilvl="8">
      <w:start w:val="1"/>
      <w:numFmt w:val="decimal"/>
      <w:suff w:val="tab"/>
      <w:lvlText w:val="%1.%2.%3.%4.%5.%6.%7.%8.%9."/>
      <w:lvlJc w:val="left"/>
      <w:pPr>
        <w:ind w:left="5672" w:hanging="0"/>
      </w:pPr>
    </w:lvl>
  </w:abstractNum>
  <w:abstractNum w:abstractNumId="4">
    <w:multiLevelType w:val="hybridMultilevel"/>
    <w:name w:val="Нумерованный список 1"/>
    <w:lvl w:ilvl="0">
      <w:start w:val="1"/>
      <w:numFmt w:val="decimal"/>
      <w:suff w:val="tab"/>
      <w:lvlText w:val="%1."/>
      <w:lvlJc w:val="left"/>
      <w:pPr>
        <w:ind w:left="1069" w:hanging="0"/>
      </w:pPr>
    </w:lvl>
    <w:lvl w:ilvl="1">
      <w:start w:val="1"/>
      <w:numFmt w:val="lowerLetter"/>
      <w:suff w:val="tab"/>
      <w:lvlText w:val="%2."/>
      <w:lvlJc w:val="left"/>
      <w:pPr>
        <w:ind w:left="1789" w:hanging="0"/>
      </w:pPr>
    </w:lvl>
    <w:lvl w:ilvl="2">
      <w:start w:val="1"/>
      <w:numFmt w:val="lowerRoman"/>
      <w:suff w:val="tab"/>
      <w:lvlText w:val="%3."/>
      <w:lvlJc w:val="left"/>
      <w:pPr>
        <w:ind w:left="2689" w:hanging="0"/>
      </w:pPr>
    </w:lvl>
    <w:lvl w:ilvl="3">
      <w:start w:val="1"/>
      <w:numFmt w:val="decimal"/>
      <w:suff w:val="tab"/>
      <w:lvlText w:val="%4."/>
      <w:lvlJc w:val="left"/>
      <w:pPr>
        <w:ind w:left="3229" w:hanging="0"/>
      </w:pPr>
    </w:lvl>
    <w:lvl w:ilvl="4">
      <w:start w:val="1"/>
      <w:numFmt w:val="lowerLetter"/>
      <w:suff w:val="tab"/>
      <w:lvlText w:val="%5."/>
      <w:lvlJc w:val="left"/>
      <w:pPr>
        <w:ind w:left="3949" w:hanging="0"/>
      </w:pPr>
    </w:lvl>
    <w:lvl w:ilvl="5">
      <w:start w:val="1"/>
      <w:numFmt w:val="lowerRoman"/>
      <w:suff w:val="tab"/>
      <w:lvlText w:val="%6."/>
      <w:lvlJc w:val="left"/>
      <w:pPr>
        <w:ind w:left="4849" w:hanging="0"/>
      </w:pPr>
    </w:lvl>
    <w:lvl w:ilvl="6">
      <w:start w:val="1"/>
      <w:numFmt w:val="decimal"/>
      <w:suff w:val="tab"/>
      <w:lvlText w:val="%7."/>
      <w:lvlJc w:val="left"/>
      <w:pPr>
        <w:ind w:left="5389" w:hanging="0"/>
      </w:pPr>
    </w:lvl>
    <w:lvl w:ilvl="7">
      <w:start w:val="1"/>
      <w:numFmt w:val="lowerLetter"/>
      <w:suff w:val="tab"/>
      <w:lvlText w:val="%8."/>
      <w:lvlJc w:val="left"/>
      <w:pPr>
        <w:ind w:left="6109" w:hanging="0"/>
      </w:pPr>
    </w:lvl>
    <w:lvl w:ilvl="8">
      <w:start w:val="1"/>
      <w:numFmt w:val="lowerRoman"/>
      <w:suff w:val="tab"/>
      <w:lvlText w:val="%9."/>
      <w:lvlJc w:val="left"/>
      <w:pPr>
        <w:ind w:left="7009" w:hanging="0"/>
      </w:pPr>
    </w:lvl>
  </w:abstractNum>
  <w:abstractNum w:abstractNumId="5">
    <w:multiLevelType w:val="hybridMultilevel"/>
    <w:name w:val="Нумерованный список 9"/>
    <w:lvl w:ilvl="0">
      <w:start w:val="3"/>
      <w:numFmt w:val="decimal"/>
      <w:suff w:val="tab"/>
      <w:lvlText w:val="%1."/>
      <w:lvlJc w:val="left"/>
      <w:pPr>
        <w:ind w:left="720" w:hanging="0"/>
      </w:pPr>
      <w:rPr>
        <w:rFonts w:eastAsia="Times New Roman"/>
        <w:b w:val="0"/>
        <w:color w:val="auto"/>
        <w:sz w:val="20"/>
      </w:rPr>
    </w:lvl>
    <w:lvl w:ilvl="1">
      <w:start w:val="1"/>
      <w:numFmt w:val="lowerLetter"/>
      <w:suff w:val="tab"/>
      <w:lvlText w:val="%2."/>
      <w:lvlJc w:val="left"/>
      <w:pPr>
        <w:ind w:left="1440" w:hanging="0"/>
      </w:pPr>
    </w:lvl>
    <w:lvl w:ilvl="2">
      <w:start w:val="1"/>
      <w:numFmt w:val="lowerRoman"/>
      <w:suff w:val="tab"/>
      <w:lvlText w:val="%3."/>
      <w:lvlJc w:val="left"/>
      <w:pPr>
        <w:ind w:left="2340" w:hanging="0"/>
      </w:pPr>
    </w:lvl>
    <w:lvl w:ilvl="3">
      <w:start w:val="1"/>
      <w:numFmt w:val="decimal"/>
      <w:suff w:val="tab"/>
      <w:lvlText w:val="%4."/>
      <w:lvlJc w:val="left"/>
      <w:pPr>
        <w:ind w:left="2880" w:hanging="0"/>
      </w:pPr>
    </w:lvl>
    <w:lvl w:ilvl="4">
      <w:start w:val="1"/>
      <w:numFmt w:val="lowerLetter"/>
      <w:suff w:val="tab"/>
      <w:lvlText w:val="%5."/>
      <w:lvlJc w:val="left"/>
      <w:pPr>
        <w:ind w:left="3600" w:hanging="0"/>
      </w:pPr>
    </w:lvl>
    <w:lvl w:ilvl="5">
      <w:start w:val="1"/>
      <w:numFmt w:val="lowerRoman"/>
      <w:suff w:val="tab"/>
      <w:lvlText w:val="%6."/>
      <w:lvlJc w:val="left"/>
      <w:pPr>
        <w:ind w:left="4500" w:hanging="0"/>
      </w:pPr>
    </w:lvl>
    <w:lvl w:ilvl="6">
      <w:start w:val="1"/>
      <w:numFmt w:val="decimal"/>
      <w:suff w:val="tab"/>
      <w:lvlText w:val="%7."/>
      <w:lvlJc w:val="left"/>
      <w:pPr>
        <w:ind w:left="5040" w:hanging="0"/>
      </w:pPr>
    </w:lvl>
    <w:lvl w:ilvl="7">
      <w:start w:val="1"/>
      <w:numFmt w:val="lowerLetter"/>
      <w:suff w:val="tab"/>
      <w:lvlText w:val="%8."/>
      <w:lvlJc w:val="left"/>
      <w:pPr>
        <w:ind w:left="5760" w:hanging="0"/>
      </w:pPr>
    </w:lvl>
    <w:lvl w:ilvl="8">
      <w:start w:val="1"/>
      <w:numFmt w:val="lowerRoman"/>
      <w:suff w:val="tab"/>
      <w:lvlText w:val="%9."/>
      <w:lvlJc w:val="left"/>
      <w:pPr>
        <w:ind w:left="6660" w:hanging="0"/>
      </w:pPr>
    </w:lvl>
  </w:abstractNum>
  <w:abstractNum w:abstractNumId="6">
    <w:multiLevelType w:val="hybridMultilevel"/>
    <w:name w:val="Нумерованный список 3"/>
    <w:lvl w:ilvl="0">
      <w:start w:val="1"/>
      <w:numFmt w:val="decimal"/>
      <w:suff w:val="tab"/>
      <w:lvlText w:val="%1."/>
      <w:lvlJc w:val="left"/>
      <w:pPr>
        <w:ind w:left="0" w:hanging="0"/>
      </w:pPr>
      <w:rPr>
        <w:rFonts w:cs="Calibri"/>
        <w:sz w:val="22"/>
      </w:rPr>
    </w:lvl>
    <w:lvl w:ilvl="1">
      <w:start w:val="4"/>
      <w:numFmt w:val="decimal"/>
      <w:suff w:val="tab"/>
      <w:lvlText w:val="%1.%2."/>
      <w:lvlJc w:val="left"/>
      <w:pPr>
        <w:ind w:left="1429" w:hanging="0"/>
      </w:pPr>
      <w:rPr>
        <w:rFonts w:cs="Calibri"/>
        <w:sz w:val="22"/>
      </w:rPr>
    </w:lvl>
    <w:lvl w:ilvl="2">
      <w:start w:val="1"/>
      <w:numFmt w:val="decimal"/>
      <w:suff w:val="tab"/>
      <w:lvlText w:val="%1.%2.%3."/>
      <w:lvlJc w:val="left"/>
      <w:pPr>
        <w:ind w:left="2858" w:hanging="0"/>
      </w:pPr>
      <w:rPr>
        <w:rFonts w:cs="Calibri"/>
        <w:sz w:val="22"/>
      </w:rPr>
    </w:lvl>
    <w:lvl w:ilvl="3">
      <w:start w:val="1"/>
      <w:numFmt w:val="decimal"/>
      <w:suff w:val="tab"/>
      <w:lvlText w:val="%1.%2.%3.%4."/>
      <w:lvlJc w:val="left"/>
      <w:pPr>
        <w:ind w:left="4287" w:hanging="0"/>
      </w:pPr>
      <w:rPr>
        <w:rFonts w:cs="Calibri"/>
        <w:sz w:val="22"/>
      </w:rPr>
    </w:lvl>
    <w:lvl w:ilvl="4">
      <w:start w:val="1"/>
      <w:numFmt w:val="decimal"/>
      <w:suff w:val="tab"/>
      <w:lvlText w:val="%1.%2.%3.%4.%5."/>
      <w:lvlJc w:val="left"/>
      <w:pPr>
        <w:ind w:left="5716" w:hanging="0"/>
      </w:pPr>
      <w:rPr>
        <w:rFonts w:cs="Calibri"/>
        <w:sz w:val="22"/>
      </w:rPr>
    </w:lvl>
    <w:lvl w:ilvl="5">
      <w:start w:val="1"/>
      <w:numFmt w:val="decimal"/>
      <w:suff w:val="tab"/>
      <w:lvlText w:val="%1.%2.%3.%4.%5.%6."/>
      <w:lvlJc w:val="left"/>
      <w:pPr>
        <w:ind w:left="7145" w:hanging="0"/>
      </w:pPr>
      <w:rPr>
        <w:rFonts w:cs="Calibri"/>
        <w:sz w:val="22"/>
      </w:rPr>
    </w:lvl>
    <w:lvl w:ilvl="6">
      <w:start w:val="1"/>
      <w:numFmt w:val="decimal"/>
      <w:suff w:val="tab"/>
      <w:lvlText w:val="%1.%2.%3.%4.%5.%6.%7."/>
      <w:lvlJc w:val="left"/>
      <w:pPr>
        <w:ind w:left="8574" w:hanging="0"/>
      </w:pPr>
      <w:rPr>
        <w:rFonts w:cs="Calibri"/>
        <w:sz w:val="22"/>
      </w:rPr>
    </w:lvl>
    <w:lvl w:ilvl="7">
      <w:start w:val="1"/>
      <w:numFmt w:val="decimal"/>
      <w:suff w:val="tab"/>
      <w:lvlText w:val="%1.%2.%3.%4.%5.%6.%7.%8."/>
      <w:lvlJc w:val="left"/>
      <w:pPr>
        <w:ind w:left="10003" w:hanging="0"/>
      </w:pPr>
      <w:rPr>
        <w:rFonts w:cs="Calibri"/>
        <w:sz w:val="22"/>
      </w:rPr>
    </w:lvl>
    <w:lvl w:ilvl="8">
      <w:start w:val="1"/>
      <w:numFmt w:val="decimal"/>
      <w:suff w:val="tab"/>
      <w:lvlText w:val="%1.%2.%3.%4.%5.%6.%7.%8.%9."/>
      <w:lvlJc w:val="left"/>
      <w:pPr>
        <w:ind w:left="11432" w:hanging="0"/>
      </w:pPr>
      <w:rPr>
        <w:rFonts w:cs="Calibri"/>
        <w:sz w:val="22"/>
      </w:rPr>
    </w:lvl>
  </w:abstractNum>
  <w:abstractNum w:abstractNumId="7">
    <w:multiLevelType w:val="hybridMultilevel"/>
    <w:name w:val="Нумерованный список 10"/>
    <w:lvl w:ilvl="0">
      <w:start w:val="0"/>
      <w:numFmt w:val="none"/>
      <w:suff w:val="tab"/>
      <w:lvlText w:val=""/>
      <w:lvlJc w:val="left"/>
      <w:pPr>
        <w:ind w:left="0" w:hanging="0"/>
      </w:pPr>
    </w:lvl>
    <w:lvl w:ilvl="1">
      <w:start w:val="0"/>
      <w:numFmt w:val="none"/>
      <w:suff w:val="tab"/>
      <w:lvlText w:val=""/>
      <w:lvlJc w:val="left"/>
      <w:pPr>
        <w:ind w:left="0" w:hanging="0"/>
      </w:pPr>
    </w:lvl>
    <w:lvl w:ilvl="2">
      <w:start w:val="0"/>
      <w:numFmt w:val="none"/>
      <w:suff w:val="tab"/>
      <w:lvlText w:val=""/>
      <w:lvlJc w:val="left"/>
      <w:pPr>
        <w:ind w:left="0" w:hanging="0"/>
      </w:pPr>
    </w:lvl>
    <w:lvl w:ilvl="3">
      <w:start w:val="0"/>
      <w:numFmt w:val="none"/>
      <w:suff w:val="tab"/>
      <w:lvlText w:val=""/>
      <w:lvlJc w:val="left"/>
      <w:pPr>
        <w:ind w:left="0" w:hanging="0"/>
      </w:pPr>
    </w:lvl>
    <w:lvl w:ilvl="4">
      <w:start w:val="0"/>
      <w:numFmt w:val="none"/>
      <w:suff w:val="tab"/>
      <w:lvlText w:val=""/>
      <w:lvlJc w:val="left"/>
      <w:pPr>
        <w:ind w:left="0" w:hanging="0"/>
      </w:pPr>
    </w:lvl>
    <w:lvl w:ilvl="5">
      <w:start w:val="0"/>
      <w:numFmt w:val="none"/>
      <w:suff w:val="tab"/>
      <w:lvlText w:val=""/>
      <w:lvlJc w:val="left"/>
      <w:pPr>
        <w:ind w:left="0" w:hanging="0"/>
      </w:pPr>
    </w:lvl>
    <w:lvl w:ilvl="6">
      <w:start w:val="0"/>
      <w:numFmt w:val="none"/>
      <w:suff w:val="tab"/>
      <w:lvlText w:val=""/>
      <w:lvlJc w:val="left"/>
      <w:pPr>
        <w:ind w:left="0" w:hanging="0"/>
      </w:pPr>
    </w:lvl>
    <w:lvl w:ilvl="7">
      <w:start w:val="0"/>
      <w:numFmt w:val="none"/>
      <w:suff w:val="tab"/>
      <w:lvlText w:val=""/>
      <w:lvlJc w:val="left"/>
      <w:pPr>
        <w:ind w:left="0" w:hanging="0"/>
      </w:pPr>
    </w:lvl>
    <w:lvl w:ilvl="8">
      <w:start w:val="0"/>
      <w:numFmt w:val="none"/>
      <w:suff w:val="tab"/>
      <w:lvlText w:val=""/>
      <w:lvlJc w:val="left"/>
      <w:pPr>
        <w:ind w:left="0" w:hanging="0"/>
      </w:pPr>
    </w:lvl>
  </w:abstractNum>
  <w:abstractNum w:abstractNumId="8">
    <w:multiLevelType w:val="hybridMultilevel"/>
    <w:name w:val="Нумерованный список 5"/>
    <w:lvl w:ilvl="0">
      <w:numFmt w:val="bullet"/>
      <w:suff w:val="tab"/>
      <w:lvlText w:val="·"/>
      <w:lvlJc w:val="left"/>
      <w:pPr>
        <w:ind w:left="360" w:hanging="0"/>
      </w:pPr>
      <w:rPr>
        <w:rFonts w:ascii="Symbol" w:hAnsi="Symbol"/>
        <w:sz w:val="20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/>
        <w:sz w:val="20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  <w:sz w:val="20"/>
      </w:rPr>
    </w:lvl>
    <w:lvl w:ilvl="3">
      <w:numFmt w:val="bullet"/>
      <w:suff w:val="tab"/>
      <w:lvlText w:val=""/>
      <w:lvlJc w:val="left"/>
      <w:pPr>
        <w:ind w:left="2520" w:hanging="0"/>
      </w:pPr>
      <w:rPr>
        <w:rFonts w:ascii="Wingdings" w:hAnsi="Wingdings" w:eastAsia="Wingdings" w:cs="Wingdings"/>
        <w:sz w:val="20"/>
      </w:rPr>
    </w:lvl>
    <w:lvl w:ilvl="4">
      <w:numFmt w:val="bullet"/>
      <w:suff w:val="tab"/>
      <w:lvlText w:val=""/>
      <w:lvlJc w:val="left"/>
      <w:pPr>
        <w:ind w:left="3240" w:hanging="0"/>
      </w:pPr>
      <w:rPr>
        <w:rFonts w:ascii="Wingdings" w:hAnsi="Wingdings" w:eastAsia="Wingdings" w:cs="Wingdings"/>
        <w:sz w:val="20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  <w:sz w:val="20"/>
      </w:rPr>
    </w:lvl>
    <w:lvl w:ilvl="6">
      <w:numFmt w:val="bullet"/>
      <w:suff w:val="tab"/>
      <w:lvlText w:val=""/>
      <w:lvlJc w:val="left"/>
      <w:pPr>
        <w:ind w:left="4680" w:hanging="0"/>
      </w:pPr>
      <w:rPr>
        <w:rFonts w:ascii="Wingdings" w:hAnsi="Wingdings" w:eastAsia="Wingdings" w:cs="Wingdings"/>
        <w:sz w:val="20"/>
      </w:rPr>
    </w:lvl>
    <w:lvl w:ilvl="7">
      <w:numFmt w:val="bullet"/>
      <w:suff w:val="tab"/>
      <w:lvlText w:val=""/>
      <w:lvlJc w:val="left"/>
      <w:pPr>
        <w:ind w:left="5400" w:hanging="0"/>
      </w:pPr>
      <w:rPr>
        <w:rFonts w:ascii="Wingdings" w:hAnsi="Wingdings" w:eastAsia="Wingdings" w:cs="Wingdings"/>
        <w:sz w:val="20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  <w:sz w:val="20"/>
      </w:rPr>
    </w:lvl>
  </w:abstractNum>
  <w:abstractNum w:abstractNumId="9">
    <w:multiLevelType w:val="hybridMultilevel"/>
    <w:name w:val="Нумерованный список 7"/>
    <w:lvl w:ilvl="0">
      <w:start w:val="1"/>
      <w:numFmt w:val="decimal"/>
      <w:suff w:val="tab"/>
      <w:lvlText w:val="%1."/>
      <w:lvlJc w:val="left"/>
      <w:pPr>
        <w:ind w:left="1429" w:hanging="0"/>
      </w:pPr>
    </w:lvl>
    <w:lvl w:ilvl="1">
      <w:start w:val="1"/>
      <w:numFmt w:val="lowerLetter"/>
      <w:suff w:val="tab"/>
      <w:lvlText w:val="%2."/>
      <w:lvlJc w:val="left"/>
      <w:pPr>
        <w:ind w:left="2149" w:hanging="0"/>
      </w:pPr>
    </w:lvl>
    <w:lvl w:ilvl="2">
      <w:start w:val="1"/>
      <w:numFmt w:val="lowerRoman"/>
      <w:suff w:val="tab"/>
      <w:lvlText w:val="%3."/>
      <w:lvlJc w:val="left"/>
      <w:pPr>
        <w:ind w:left="3049" w:hanging="0"/>
      </w:pPr>
    </w:lvl>
    <w:lvl w:ilvl="3">
      <w:start w:val="1"/>
      <w:numFmt w:val="decimal"/>
      <w:suff w:val="tab"/>
      <w:lvlText w:val="%4."/>
      <w:lvlJc w:val="left"/>
      <w:pPr>
        <w:ind w:left="3589" w:hanging="0"/>
      </w:pPr>
    </w:lvl>
    <w:lvl w:ilvl="4">
      <w:start w:val="1"/>
      <w:numFmt w:val="lowerLetter"/>
      <w:suff w:val="tab"/>
      <w:lvlText w:val="%5."/>
      <w:lvlJc w:val="left"/>
      <w:pPr>
        <w:ind w:left="4309" w:hanging="0"/>
      </w:pPr>
    </w:lvl>
    <w:lvl w:ilvl="5">
      <w:start w:val="1"/>
      <w:numFmt w:val="lowerRoman"/>
      <w:suff w:val="tab"/>
      <w:lvlText w:val="%6."/>
      <w:lvlJc w:val="left"/>
      <w:pPr>
        <w:ind w:left="5209" w:hanging="0"/>
      </w:pPr>
    </w:lvl>
    <w:lvl w:ilvl="6">
      <w:start w:val="1"/>
      <w:numFmt w:val="decimal"/>
      <w:suff w:val="tab"/>
      <w:lvlText w:val="%7."/>
      <w:lvlJc w:val="left"/>
      <w:pPr>
        <w:ind w:left="5749" w:hanging="0"/>
      </w:pPr>
    </w:lvl>
    <w:lvl w:ilvl="7">
      <w:start w:val="1"/>
      <w:numFmt w:val="lowerLetter"/>
      <w:suff w:val="tab"/>
      <w:lvlText w:val="%8."/>
      <w:lvlJc w:val="left"/>
      <w:pPr>
        <w:ind w:left="6469" w:hanging="0"/>
      </w:pPr>
    </w:lvl>
    <w:lvl w:ilvl="8">
      <w:start w:val="1"/>
      <w:numFmt w:val="lowerRoman"/>
      <w:suff w:val="tab"/>
      <w:lvlText w:val="%9."/>
      <w:lvlJc w:val="left"/>
      <w:pPr>
        <w:ind w:left="7369" w:hanging="0"/>
      </w:pPr>
    </w:lvl>
  </w:abstractNum>
  <w:abstractNum w:abstractNumId="10">
    <w:multiLevelType w:val="hybridMultilevel"/>
    <w:name w:val="Нумерованный список 6"/>
    <w:lvl w:ilvl="0">
      <w:start w:val="1"/>
      <w:numFmt w:val="decimal"/>
      <w:suff w:val="tab"/>
      <w:lvlText w:val="%1."/>
      <w:lvlJc w:val="left"/>
      <w:pPr>
        <w:ind w:left="1429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22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11"/>
    <w:tmLastPosSelect w:val="0"/>
    <w:tmLastPosFrameIdx w:val="40"/>
    <w:tmLastPosCaret>
      <w:tmLastPosPgfIdx w:val="2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741057659" w:val="1215" w:fileVer="342" w:fileVer64="64" w:fileVerOS="3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480" w:after="120"/>
      <w:contextualSpacing/>
      <w:jc w:val="center"/>
      <w:pageBreakBefore/>
      <w:keepNext/>
      <w:outlineLvl w:val="0"/>
      <w:keepLines/>
    </w:pPr>
    <w:rPr>
      <w:rFonts w:ascii="Times New Roman" w:hAnsi="Times New Roman" w:eastAsia="Cambria" w:cs="Cambria"/>
      <w:b/>
      <w:bCs/>
      <w:sz w:val="28"/>
      <w:szCs w:val="28"/>
    </w:rPr>
  </w:style>
  <w:style w:type="paragraph" w:styleId="para2">
    <w:name w:val="List Paragraph"/>
    <w:qFormat/>
    <w:basedOn w:val="para0"/>
    <w:pPr>
      <w:ind w:left="720"/>
      <w:contextualSpacing/>
    </w:pPr>
  </w:style>
  <w:style w:type="paragraph" w:styleId="para3">
    <w:name w:val="Balloon Text"/>
    <w:qFormat/>
    <w:basedOn w:val="para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4">
    <w:name w:val="Normal (Web)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5" w:customStyle="1">
    <w:name w:val="Default"/>
    <w:qFormat/>
    <w:pPr>
      <w:spacing w:after="0" w:line="240" w:lineRule="auto"/>
    </w:pPr>
    <w:rPr>
      <w:rFonts w:ascii="Calibri" w:hAnsi="Calibri" w:eastAsia="Calibri" w:cs="Calibri"/>
      <w:color w:val="000000"/>
      <w:sz w:val="24"/>
      <w:szCs w:val="24"/>
      <w:lang w:val="ru-ru" w:eastAsia="en-us" w:bidi="ar-sa"/>
    </w:rPr>
  </w:style>
  <w:style w:type="paragraph" w:styleId="para6" w:customStyle="1">
    <w:name w:val="Текст примечания1"/>
    <w:qFormat/>
    <w:basedOn w:val="para0"/>
    <w:pPr>
      <w:spacing w:line="240" w:lineRule="auto"/>
    </w:pPr>
    <w:rPr>
      <w:sz w:val="20"/>
      <w:szCs w:val="20"/>
    </w:rPr>
  </w:style>
  <w:style w:type="paragraph" w:styleId="para7" w:customStyle="1">
    <w:name w:val="Тема примечания1"/>
    <w:qFormat/>
    <w:basedOn w:val="para6"/>
    <w:next w:val="para6"/>
    <w:rPr>
      <w:b/>
      <w:bCs/>
    </w:rPr>
  </w:style>
  <w:style w:type="paragraph" w:styleId="para8" w:customStyle="1">
    <w:name w:val="ConsPlusNormal"/>
    <w:qFormat/>
    <w:pPr>
      <w:spacing w:after="0" w:line="240" w:lineRule="auto"/>
      <w:widowControl w:val="0"/>
    </w:pPr>
    <w:rPr>
      <w:rFonts w:ascii="Calibri" w:hAnsi="Calibri" w:eastAsia="Times New Roman" w:cs="Calibri"/>
      <w:sz w:val="22"/>
      <w:szCs w:val="22"/>
      <w:lang w:val="ru-ru" w:eastAsia="ru-ru" w:bidi="ar-sa"/>
    </w:rPr>
  </w:style>
  <w:style w:type="paragraph" w:styleId="para9">
    <w:name w:val="Header"/>
    <w:qFormat/>
    <w:basedOn w:val="para0"/>
    <w:pPr>
      <w:spacing w:after="0" w:line="240" w:lineRule="auto"/>
      <w:tabs defTabSz="708">
        <w:tab w:val="center" w:pos="4677" w:leader="none"/>
        <w:tab w:val="right" w:pos="9355" w:leader="none"/>
      </w:tabs>
    </w:pPr>
  </w:style>
  <w:style w:type="paragraph" w:styleId="para10">
    <w:name w:val="Footer"/>
    <w:qFormat/>
    <w:basedOn w:val="para0"/>
    <w:pPr>
      <w:spacing w:after="0" w:line="240" w:lineRule="auto"/>
      <w:tabs defTabSz="708">
        <w:tab w:val="center" w:pos="4677" w:leader="none"/>
        <w:tab w:val="right" w:pos="9355" w:leader="none"/>
      </w:tabs>
    </w:pPr>
  </w:style>
  <w:style w:type="paragraph" w:styleId="para11">
    <w:name w:val="No Spacing"/>
    <w:qFormat/>
    <w:pPr>
      <w:spacing w:after="0" w:line="240" w:lineRule="auto"/>
    </w:pPr>
    <w:rPr>
      <w:rFonts w:ascii="Calibri" w:hAnsi="Calibri" w:eastAsia="Calibri" w:cs="Calibri"/>
      <w:sz w:val="22"/>
      <w:szCs w:val="22"/>
      <w:lang w:val="ru-ru" w:eastAsia="en-us" w:bidi="ar-sa"/>
    </w:rPr>
  </w:style>
  <w:style w:type="paragraph" w:styleId="para12">
    <w:name w:val="Title"/>
    <w:qFormat/>
    <w:basedOn w:val="para0"/>
    <w:next w:val="para0"/>
    <w:pPr>
      <w:spacing w:before="360" w:after="300" w:line="240" w:lineRule="auto"/>
      <w:jc w:val="center"/>
    </w:pPr>
    <w:rPr>
      <w:rFonts w:ascii="Times New Roman" w:hAnsi="Times New Roman" w:eastAsia="Cambria" w:cs="Cambria"/>
      <w:b/>
      <w:spacing w:val="5" w:percent="104"/>
      <w:kern w:val="1"/>
      <w:sz w:val="28"/>
      <w:szCs w:val="52"/>
    </w:rPr>
  </w:style>
  <w:style w:type="paragraph" w:styleId="para13">
    <w:name w:val="Subtitle"/>
    <w:qFormat/>
    <w:basedOn w:val="para0"/>
    <w:next w:val="para0"/>
    <w:pPr>
      <w:spacing w:before="360" w:after="300" w:line="240" w:lineRule="auto"/>
      <w:jc w:val="center"/>
    </w:pPr>
    <w:rPr>
      <w:rFonts w:ascii="Times New Roman" w:hAnsi="Times New Roman" w:eastAsia="Cambria" w:cs="Cambria"/>
      <w:b/>
      <w:iCs/>
      <w:color w:val="000000"/>
      <w:spacing w:val="15" w:percent="111"/>
      <w:sz w:val="28"/>
      <w:szCs w:val="24"/>
    </w:rPr>
  </w:style>
  <w:style w:type="paragraph" w:styleId="para14">
    <w:name w:val="Block Text"/>
    <w:qFormat/>
    <w:basedOn w:val="para0"/>
    <w:pPr>
      <w:ind w:left="280" w:right="200"/>
      <w:spacing w:after="0" w:line="240" w:lineRule="auto"/>
      <w:jc w:val="center"/>
      <w:widowControl w:val="0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para15">
    <w:name w:val="Body Text"/>
    <w:qFormat/>
    <w:basedOn w:val="para0"/>
    <w:pPr>
      <w:spacing w:after="120"/>
    </w:pPr>
  </w:style>
  <w:style w:type="character" w:styleId="char0" w:default="1">
    <w:name w:val="Default Paragraph Font"/>
  </w:style>
  <w:style w:type="character" w:styleId="char1" w:customStyle="1">
    <w:name w:val="Текст выноски Знак"/>
    <w:basedOn w:val="char0"/>
    <w:rPr>
      <w:rFonts w:ascii="Tahoma" w:hAnsi="Tahoma" w:cs="Tahoma"/>
      <w:sz w:val="16"/>
      <w:szCs w:val="16"/>
    </w:rPr>
  </w:style>
  <w:style w:type="character" w:styleId="char2" w:customStyle="1">
    <w:name w:val="extended-text__short"/>
    <w:basedOn w:val="char0"/>
  </w:style>
  <w:style w:type="character" w:styleId="char3" w:customStyle="1">
    <w:name w:val="Знак примечания1"/>
    <w:basedOn w:val="char0"/>
    <w:rPr>
      <w:sz w:val="16"/>
      <w:szCs w:val="16"/>
    </w:rPr>
  </w:style>
  <w:style w:type="character" w:styleId="char4" w:customStyle="1">
    <w:name w:val="Текст примечания Знак"/>
    <w:basedOn w:val="char0"/>
    <w:rPr>
      <w:sz w:val="20"/>
      <w:szCs w:val="20"/>
    </w:rPr>
  </w:style>
  <w:style w:type="character" w:styleId="char5" w:customStyle="1">
    <w:name w:val="Тема примечания Знак"/>
    <w:basedOn w:val="char4"/>
    <w:rPr>
      <w:b/>
      <w:bCs/>
      <w:sz w:val="20"/>
      <w:szCs w:val="20"/>
    </w:rPr>
  </w:style>
  <w:style w:type="character" w:styleId="char6">
    <w:name w:val="Hyperlink"/>
    <w:basedOn w:val="char0"/>
    <w:rPr>
      <w:color w:val="0000ff"/>
      <w:u w:color="auto" w:val="single"/>
    </w:rPr>
  </w:style>
  <w:style w:type="character" w:styleId="char7" w:customStyle="1">
    <w:name w:val="extended-text__full"/>
    <w:basedOn w:val="char0"/>
  </w:style>
  <w:style w:type="character" w:styleId="char8" w:customStyle="1">
    <w:name w:val="Верхний колонтитул Знак"/>
    <w:basedOn w:val="char0"/>
  </w:style>
  <w:style w:type="character" w:styleId="char9" w:customStyle="1">
    <w:name w:val="Нижний колонтитул Знак"/>
    <w:basedOn w:val="char0"/>
  </w:style>
  <w:style w:type="character" w:styleId="char10" w:customStyle="1">
    <w:name w:val="extendedtext-short"/>
    <w:basedOn w:val="char0"/>
  </w:style>
  <w:style w:type="character" w:styleId="char11" w:customStyle="1">
    <w:name w:val="Заголовок 1 Знак"/>
    <w:basedOn w:val="char0"/>
    <w:rPr>
      <w:rFonts w:ascii="Times New Roman" w:hAnsi="Times New Roman" w:eastAsia="Cambria" w:cs="Cambria"/>
      <w:b/>
      <w:bCs/>
      <w:sz w:val="28"/>
      <w:szCs w:val="28"/>
    </w:rPr>
  </w:style>
  <w:style w:type="character" w:styleId="char12" w:customStyle="1">
    <w:name w:val="Название Знак"/>
    <w:basedOn w:val="char0"/>
    <w:rPr>
      <w:rFonts w:ascii="Times New Roman" w:hAnsi="Times New Roman" w:eastAsia="Cambria" w:cs="Cambria"/>
      <w:b/>
      <w:spacing w:val="5" w:percent="104"/>
      <w:kern w:val="1"/>
      <w:sz w:val="28"/>
      <w:szCs w:val="52"/>
    </w:rPr>
  </w:style>
  <w:style w:type="character" w:styleId="char13" w:customStyle="1">
    <w:name w:val="Подзаголовок Знак"/>
    <w:basedOn w:val="char0"/>
    <w:rPr>
      <w:rFonts w:ascii="Times New Roman" w:hAnsi="Times New Roman" w:eastAsia="Cambria" w:cs="Cambria"/>
      <w:b/>
      <w:iCs/>
      <w:color w:val="000000"/>
      <w:spacing w:val="15" w:percent="111"/>
      <w:sz w:val="28"/>
      <w:szCs w:val="24"/>
    </w:rPr>
  </w:style>
  <w:style w:type="character" w:styleId="char14">
    <w:name w:val="Subtle Emphasis"/>
    <w:basedOn w:val="char0"/>
    <w:rPr>
      <w:i/>
      <w:iCs/>
      <w:color w:val="808080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Сетка таблицы"/>
    <w:basedOn w:val="NormalTable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480" w:after="120"/>
      <w:contextualSpacing/>
      <w:jc w:val="center"/>
      <w:pageBreakBefore/>
      <w:keepNext/>
      <w:outlineLvl w:val="0"/>
      <w:keepLines/>
    </w:pPr>
    <w:rPr>
      <w:rFonts w:ascii="Times New Roman" w:hAnsi="Times New Roman" w:eastAsia="Cambria" w:cs="Cambria"/>
      <w:b/>
      <w:bCs/>
      <w:sz w:val="28"/>
      <w:szCs w:val="28"/>
    </w:rPr>
  </w:style>
  <w:style w:type="paragraph" w:styleId="para2">
    <w:name w:val="List Paragraph"/>
    <w:qFormat/>
    <w:basedOn w:val="para0"/>
    <w:pPr>
      <w:ind w:left="720"/>
      <w:contextualSpacing/>
    </w:pPr>
  </w:style>
  <w:style w:type="paragraph" w:styleId="para3">
    <w:name w:val="Balloon Text"/>
    <w:qFormat/>
    <w:basedOn w:val="para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4">
    <w:name w:val="Normal (Web)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5" w:customStyle="1">
    <w:name w:val="Default"/>
    <w:qFormat/>
    <w:pPr>
      <w:spacing w:after="0" w:line="240" w:lineRule="auto"/>
    </w:pPr>
    <w:rPr>
      <w:rFonts w:ascii="Calibri" w:hAnsi="Calibri" w:eastAsia="Calibri" w:cs="Calibri"/>
      <w:color w:val="000000"/>
      <w:sz w:val="24"/>
      <w:szCs w:val="24"/>
      <w:lang w:val="ru-ru" w:eastAsia="en-us" w:bidi="ar-sa"/>
    </w:rPr>
  </w:style>
  <w:style w:type="paragraph" w:styleId="para6" w:customStyle="1">
    <w:name w:val="Текст примечания1"/>
    <w:qFormat/>
    <w:basedOn w:val="para0"/>
    <w:pPr>
      <w:spacing w:line="240" w:lineRule="auto"/>
    </w:pPr>
    <w:rPr>
      <w:sz w:val="20"/>
      <w:szCs w:val="20"/>
    </w:rPr>
  </w:style>
  <w:style w:type="paragraph" w:styleId="para7" w:customStyle="1">
    <w:name w:val="Тема примечания1"/>
    <w:qFormat/>
    <w:basedOn w:val="para6"/>
    <w:next w:val="para6"/>
    <w:rPr>
      <w:b/>
      <w:bCs/>
    </w:rPr>
  </w:style>
  <w:style w:type="paragraph" w:styleId="para8" w:customStyle="1">
    <w:name w:val="ConsPlusNormal"/>
    <w:qFormat/>
    <w:pPr>
      <w:spacing w:after="0" w:line="240" w:lineRule="auto"/>
      <w:widowControl w:val="0"/>
    </w:pPr>
    <w:rPr>
      <w:rFonts w:ascii="Calibri" w:hAnsi="Calibri" w:eastAsia="Times New Roman" w:cs="Calibri"/>
      <w:sz w:val="22"/>
      <w:szCs w:val="22"/>
      <w:lang w:val="ru-ru" w:eastAsia="ru-ru" w:bidi="ar-sa"/>
    </w:rPr>
  </w:style>
  <w:style w:type="paragraph" w:styleId="para9">
    <w:name w:val="Header"/>
    <w:qFormat/>
    <w:basedOn w:val="para0"/>
    <w:pPr>
      <w:spacing w:after="0" w:line="240" w:lineRule="auto"/>
      <w:tabs defTabSz="708">
        <w:tab w:val="center" w:pos="4677" w:leader="none"/>
        <w:tab w:val="right" w:pos="9355" w:leader="none"/>
      </w:tabs>
    </w:pPr>
  </w:style>
  <w:style w:type="paragraph" w:styleId="para10">
    <w:name w:val="Footer"/>
    <w:qFormat/>
    <w:basedOn w:val="para0"/>
    <w:pPr>
      <w:spacing w:after="0" w:line="240" w:lineRule="auto"/>
      <w:tabs defTabSz="708">
        <w:tab w:val="center" w:pos="4677" w:leader="none"/>
        <w:tab w:val="right" w:pos="9355" w:leader="none"/>
      </w:tabs>
    </w:pPr>
  </w:style>
  <w:style w:type="paragraph" w:styleId="para11">
    <w:name w:val="No Spacing"/>
    <w:qFormat/>
    <w:pPr>
      <w:spacing w:after="0" w:line="240" w:lineRule="auto"/>
    </w:pPr>
    <w:rPr>
      <w:rFonts w:ascii="Calibri" w:hAnsi="Calibri" w:eastAsia="Calibri" w:cs="Calibri"/>
      <w:sz w:val="22"/>
      <w:szCs w:val="22"/>
      <w:lang w:val="ru-ru" w:eastAsia="en-us" w:bidi="ar-sa"/>
    </w:rPr>
  </w:style>
  <w:style w:type="paragraph" w:styleId="para12">
    <w:name w:val="Title"/>
    <w:qFormat/>
    <w:basedOn w:val="para0"/>
    <w:next w:val="para0"/>
    <w:pPr>
      <w:spacing w:before="360" w:after="300" w:line="240" w:lineRule="auto"/>
      <w:jc w:val="center"/>
    </w:pPr>
    <w:rPr>
      <w:rFonts w:ascii="Times New Roman" w:hAnsi="Times New Roman" w:eastAsia="Cambria" w:cs="Cambria"/>
      <w:b/>
      <w:spacing w:val="5" w:percent="104"/>
      <w:kern w:val="1"/>
      <w:sz w:val="28"/>
      <w:szCs w:val="52"/>
    </w:rPr>
  </w:style>
  <w:style w:type="paragraph" w:styleId="para13">
    <w:name w:val="Subtitle"/>
    <w:qFormat/>
    <w:basedOn w:val="para0"/>
    <w:next w:val="para0"/>
    <w:pPr>
      <w:spacing w:before="360" w:after="300" w:line="240" w:lineRule="auto"/>
      <w:jc w:val="center"/>
    </w:pPr>
    <w:rPr>
      <w:rFonts w:ascii="Times New Roman" w:hAnsi="Times New Roman" w:eastAsia="Cambria" w:cs="Cambria"/>
      <w:b/>
      <w:iCs/>
      <w:color w:val="000000"/>
      <w:spacing w:val="15" w:percent="111"/>
      <w:sz w:val="28"/>
      <w:szCs w:val="24"/>
    </w:rPr>
  </w:style>
  <w:style w:type="paragraph" w:styleId="para14">
    <w:name w:val="Block Text"/>
    <w:qFormat/>
    <w:basedOn w:val="para0"/>
    <w:pPr>
      <w:ind w:left="280" w:right="200"/>
      <w:spacing w:after="0" w:line="240" w:lineRule="auto"/>
      <w:jc w:val="center"/>
      <w:widowControl w:val="0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para15">
    <w:name w:val="Body Text"/>
    <w:qFormat/>
    <w:basedOn w:val="para0"/>
    <w:pPr>
      <w:spacing w:after="120"/>
    </w:pPr>
  </w:style>
  <w:style w:type="character" w:styleId="char0" w:default="1">
    <w:name w:val="Default Paragraph Font"/>
  </w:style>
  <w:style w:type="character" w:styleId="char1" w:customStyle="1">
    <w:name w:val="Текст выноски Знак"/>
    <w:basedOn w:val="char0"/>
    <w:rPr>
      <w:rFonts w:ascii="Tahoma" w:hAnsi="Tahoma" w:cs="Tahoma"/>
      <w:sz w:val="16"/>
      <w:szCs w:val="16"/>
    </w:rPr>
  </w:style>
  <w:style w:type="character" w:styleId="char2" w:customStyle="1">
    <w:name w:val="extended-text__short"/>
    <w:basedOn w:val="char0"/>
  </w:style>
  <w:style w:type="character" w:styleId="char3" w:customStyle="1">
    <w:name w:val="Знак примечания1"/>
    <w:basedOn w:val="char0"/>
    <w:rPr>
      <w:sz w:val="16"/>
      <w:szCs w:val="16"/>
    </w:rPr>
  </w:style>
  <w:style w:type="character" w:styleId="char4" w:customStyle="1">
    <w:name w:val="Текст примечания Знак"/>
    <w:basedOn w:val="char0"/>
    <w:rPr>
      <w:sz w:val="20"/>
      <w:szCs w:val="20"/>
    </w:rPr>
  </w:style>
  <w:style w:type="character" w:styleId="char5" w:customStyle="1">
    <w:name w:val="Тема примечания Знак"/>
    <w:basedOn w:val="char4"/>
    <w:rPr>
      <w:b/>
      <w:bCs/>
      <w:sz w:val="20"/>
      <w:szCs w:val="20"/>
    </w:rPr>
  </w:style>
  <w:style w:type="character" w:styleId="char6">
    <w:name w:val="Hyperlink"/>
    <w:basedOn w:val="char0"/>
    <w:rPr>
      <w:color w:val="0000ff"/>
      <w:u w:color="auto" w:val="single"/>
    </w:rPr>
  </w:style>
  <w:style w:type="character" w:styleId="char7" w:customStyle="1">
    <w:name w:val="extended-text__full"/>
    <w:basedOn w:val="char0"/>
  </w:style>
  <w:style w:type="character" w:styleId="char8" w:customStyle="1">
    <w:name w:val="Верхний колонтитул Знак"/>
    <w:basedOn w:val="char0"/>
  </w:style>
  <w:style w:type="character" w:styleId="char9" w:customStyle="1">
    <w:name w:val="Нижний колонтитул Знак"/>
    <w:basedOn w:val="char0"/>
  </w:style>
  <w:style w:type="character" w:styleId="char10" w:customStyle="1">
    <w:name w:val="extendedtext-short"/>
    <w:basedOn w:val="char0"/>
  </w:style>
  <w:style w:type="character" w:styleId="char11" w:customStyle="1">
    <w:name w:val="Заголовок 1 Знак"/>
    <w:basedOn w:val="char0"/>
    <w:rPr>
      <w:rFonts w:ascii="Times New Roman" w:hAnsi="Times New Roman" w:eastAsia="Cambria" w:cs="Cambria"/>
      <w:b/>
      <w:bCs/>
      <w:sz w:val="28"/>
      <w:szCs w:val="28"/>
    </w:rPr>
  </w:style>
  <w:style w:type="character" w:styleId="char12" w:customStyle="1">
    <w:name w:val="Название Знак"/>
    <w:basedOn w:val="char0"/>
    <w:rPr>
      <w:rFonts w:ascii="Times New Roman" w:hAnsi="Times New Roman" w:eastAsia="Cambria" w:cs="Cambria"/>
      <w:b/>
      <w:spacing w:val="5" w:percent="104"/>
      <w:kern w:val="1"/>
      <w:sz w:val="28"/>
      <w:szCs w:val="52"/>
    </w:rPr>
  </w:style>
  <w:style w:type="character" w:styleId="char13" w:customStyle="1">
    <w:name w:val="Подзаголовок Знак"/>
    <w:basedOn w:val="char0"/>
    <w:rPr>
      <w:rFonts w:ascii="Times New Roman" w:hAnsi="Times New Roman" w:eastAsia="Cambria" w:cs="Cambria"/>
      <w:b/>
      <w:iCs/>
      <w:color w:val="000000"/>
      <w:spacing w:val="15" w:percent="111"/>
      <w:sz w:val="28"/>
      <w:szCs w:val="24"/>
    </w:rPr>
  </w:style>
  <w:style w:type="character" w:styleId="char14">
    <w:name w:val="Subtle Emphasis"/>
    <w:basedOn w:val="char0"/>
    <w:rPr>
      <w:i/>
      <w:iCs/>
      <w:color w:val="808080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Сетка таблицы"/>
    <w:basedOn w:val="NormalTable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Cambria"/>
        <a:cs typeface="Cambria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rev.1215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 О.В.</dc:creator>
  <cp:keywords/>
  <dc:description/>
  <cp:lastModifiedBy/>
  <cp:revision>122</cp:revision>
  <cp:lastPrinted>2023-01-31T04:24:00Z</cp:lastPrinted>
  <dcterms:created xsi:type="dcterms:W3CDTF">2020-02-05T02:23:00Z</dcterms:created>
  <dcterms:modified xsi:type="dcterms:W3CDTF">2025-03-04T03:07:39Z</dcterms:modified>
</cp:coreProperties>
</file>